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B6" w:rsidRPr="004B4CA1" w:rsidRDefault="004C71B6" w:rsidP="004B4CA1">
      <w:pPr>
        <w:tabs>
          <w:tab w:val="left" w:pos="6228"/>
        </w:tabs>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4C71B6" w:rsidRPr="004B4CA1" w:rsidRDefault="004C71B6" w:rsidP="00CE7795">
      <w:pPr>
        <w:jc w:val="center"/>
        <w:rPr>
          <w:noProof/>
        </w:rPr>
      </w:pPr>
    </w:p>
    <w:p w:rsidR="00733C5F" w:rsidRPr="004B4CA1" w:rsidRDefault="00733C5F" w:rsidP="00CE7795">
      <w:pPr>
        <w:jc w:val="center"/>
        <w:rPr>
          <w:noProof/>
        </w:rPr>
      </w:pPr>
    </w:p>
    <w:p w:rsidR="004C71B6" w:rsidRPr="004B4CA1" w:rsidRDefault="004C71B6" w:rsidP="00CE7795">
      <w:pPr>
        <w:jc w:val="center"/>
        <w:rPr>
          <w:noProof/>
        </w:rPr>
      </w:pPr>
    </w:p>
    <w:p w:rsidR="00D2017B" w:rsidRPr="004B4CA1" w:rsidRDefault="00D2017B" w:rsidP="004C71B6">
      <w:pPr>
        <w:jc w:val="center"/>
      </w:pPr>
    </w:p>
    <w:p w:rsidR="004C71B6" w:rsidRPr="004B4CA1" w:rsidRDefault="004C71B6" w:rsidP="004C71B6">
      <w:pPr>
        <w:jc w:val="center"/>
      </w:pPr>
    </w:p>
    <w:p w:rsidR="004C71B6" w:rsidRPr="004B4CA1" w:rsidRDefault="004C71B6" w:rsidP="004C71B6">
      <w:pPr>
        <w:jc w:val="center"/>
      </w:pPr>
    </w:p>
    <w:p w:rsidR="004C71B6" w:rsidRPr="004B4CA1" w:rsidRDefault="004C71B6" w:rsidP="004C71B6">
      <w:pPr>
        <w:jc w:val="center"/>
      </w:pPr>
    </w:p>
    <w:p w:rsidR="004C71B6" w:rsidRPr="004B4CA1" w:rsidRDefault="004C71B6" w:rsidP="004C71B6">
      <w:pPr>
        <w:jc w:val="center"/>
      </w:pPr>
    </w:p>
    <w:p w:rsidR="004C71B6" w:rsidRPr="004B4CA1" w:rsidRDefault="004C71B6" w:rsidP="004C71B6">
      <w:pPr>
        <w:jc w:val="center"/>
      </w:pPr>
    </w:p>
    <w:p w:rsidR="004C71B6" w:rsidRPr="004B4CA1" w:rsidRDefault="004C71B6" w:rsidP="00CE7795">
      <w:pPr>
        <w:jc w:val="center"/>
      </w:pPr>
    </w:p>
    <w:p w:rsidR="00CE7795" w:rsidRPr="004B4CA1" w:rsidRDefault="00CE7795" w:rsidP="00CE7795">
      <w:pPr>
        <w:jc w:val="center"/>
      </w:pPr>
    </w:p>
    <w:p w:rsidR="0086492B" w:rsidRPr="004B4CA1" w:rsidRDefault="004C71B6" w:rsidP="004C71B6">
      <w:pPr>
        <w:pStyle w:val="Tekstpodstawowy"/>
        <w:spacing w:line="360" w:lineRule="auto"/>
        <w:jc w:val="center"/>
        <w:rPr>
          <w:rFonts w:cs="Arial"/>
          <w:b w:val="0"/>
          <w:bCs w:val="0"/>
          <w:sz w:val="32"/>
          <w:szCs w:val="32"/>
        </w:rPr>
      </w:pPr>
      <w:r>
        <w:rPr>
          <w:b w:val="0"/>
          <w:sz w:val="32"/>
        </w:rPr>
        <w:t>INTERIM REPORT</w:t>
      </w:r>
    </w:p>
    <w:p w:rsidR="004C71B6" w:rsidRPr="004B4CA1" w:rsidRDefault="004C71B6" w:rsidP="004C71B6">
      <w:pPr>
        <w:pStyle w:val="Tekstpodstawowy"/>
        <w:spacing w:line="360" w:lineRule="auto"/>
        <w:jc w:val="center"/>
        <w:rPr>
          <w:rFonts w:cs="Arial"/>
          <w:b w:val="0"/>
          <w:bCs w:val="0"/>
          <w:sz w:val="32"/>
          <w:szCs w:val="32"/>
        </w:rPr>
      </w:pPr>
      <w:r>
        <w:rPr>
          <w:b w:val="0"/>
          <w:sz w:val="32"/>
        </w:rPr>
        <w:t xml:space="preserve">ON THE ACTIVITIES OF THE </w:t>
      </w:r>
      <w:r w:rsidR="006426A9">
        <w:rPr>
          <w:b w:val="0"/>
          <w:sz w:val="32"/>
        </w:rPr>
        <w:t xml:space="preserve">CAPITAL GROUP </w:t>
      </w:r>
      <w:r>
        <w:rPr>
          <w:b w:val="0"/>
          <w:sz w:val="32"/>
        </w:rPr>
        <w:t xml:space="preserve">CCC S.A. </w:t>
      </w:r>
    </w:p>
    <w:p w:rsidR="004C71B6" w:rsidRPr="004B4CA1" w:rsidRDefault="004C71B6" w:rsidP="004C71B6">
      <w:pPr>
        <w:pStyle w:val="Tekstpodstawowy"/>
        <w:spacing w:line="360" w:lineRule="auto"/>
        <w:jc w:val="center"/>
        <w:rPr>
          <w:rFonts w:cs="Arial"/>
          <w:b w:val="0"/>
          <w:bCs w:val="0"/>
          <w:sz w:val="32"/>
          <w:szCs w:val="32"/>
        </w:rPr>
      </w:pPr>
      <w:r>
        <w:rPr>
          <w:b w:val="0"/>
          <w:sz w:val="32"/>
        </w:rPr>
        <w:t>AND CCC S.A.</w:t>
      </w:r>
    </w:p>
    <w:p w:rsidR="004C71B6" w:rsidRPr="004B4CA1" w:rsidRDefault="004C71B6" w:rsidP="004C71B6">
      <w:pPr>
        <w:pStyle w:val="Tekstpodstawowy"/>
        <w:spacing w:line="360" w:lineRule="auto"/>
        <w:jc w:val="center"/>
        <w:rPr>
          <w:rFonts w:cs="Arial"/>
          <w:b w:val="0"/>
          <w:bCs w:val="0"/>
          <w:sz w:val="32"/>
          <w:szCs w:val="32"/>
        </w:rPr>
      </w:pPr>
      <w:r>
        <w:rPr>
          <w:b w:val="0"/>
          <w:sz w:val="32"/>
        </w:rPr>
        <w:t>FOR THE PERIOD FROM 01.01.</w:t>
      </w:r>
      <w:r w:rsidR="006426A9">
        <w:rPr>
          <w:b w:val="0"/>
          <w:sz w:val="32"/>
        </w:rPr>
        <w:t>2014</w:t>
      </w:r>
      <w:r>
        <w:rPr>
          <w:b w:val="0"/>
          <w:sz w:val="32"/>
        </w:rPr>
        <w:t xml:space="preserve"> TO 30.06.</w:t>
      </w:r>
      <w:r w:rsidR="006426A9">
        <w:rPr>
          <w:b w:val="0"/>
          <w:sz w:val="32"/>
        </w:rPr>
        <w:t>2014</w:t>
      </w:r>
    </w:p>
    <w:p w:rsidR="00CE7795" w:rsidRPr="004B4CA1" w:rsidRDefault="00CE7795">
      <w:pPr>
        <w:spacing w:after="200" w:line="276" w:lineRule="auto"/>
      </w:pPr>
      <w:r>
        <w:br w:type="page"/>
      </w:r>
    </w:p>
    <w:p w:rsidR="004C71B6" w:rsidRPr="004B4CA1" w:rsidRDefault="00CE7795" w:rsidP="00CE7795">
      <w:pPr>
        <w:rPr>
          <w:b/>
          <w:sz w:val="24"/>
        </w:rPr>
      </w:pPr>
      <w:r>
        <w:rPr>
          <w:b/>
          <w:sz w:val="24"/>
        </w:rPr>
        <w:lastRenderedPageBreak/>
        <w:t>Table of Contents</w:t>
      </w:r>
    </w:p>
    <w:p w:rsidR="00CE7795" w:rsidRPr="003B4DA5" w:rsidRDefault="00CE7795" w:rsidP="00CE7795">
      <w:pPr>
        <w:rPr>
          <w:b/>
          <w:sz w:val="16"/>
          <w:szCs w:val="16"/>
        </w:rPr>
      </w:pPr>
    </w:p>
    <w:p w:rsidR="001A105A" w:rsidRDefault="000418D6" w:rsidP="003B4DA5">
      <w:pPr>
        <w:pStyle w:val="Spistreci1"/>
        <w:rPr>
          <w:rFonts w:asciiTheme="minorHAnsi" w:eastAsiaTheme="minorEastAsia" w:hAnsiTheme="minorHAnsi" w:cstheme="minorBidi"/>
          <w:noProof/>
          <w:sz w:val="22"/>
          <w:szCs w:val="22"/>
          <w:lang w:val="pl-PL" w:eastAsia="pl-PL" w:bidi="ar-SA"/>
        </w:rPr>
      </w:pPr>
      <w:r w:rsidRPr="000418D6">
        <w:rPr>
          <w:rFonts w:ascii="Arial" w:hAnsi="Arial" w:cs="Arial"/>
          <w:b/>
        </w:rPr>
        <w:fldChar w:fldCharType="begin"/>
      </w:r>
      <w:r w:rsidR="00CE7795" w:rsidRPr="004B4CA1">
        <w:rPr>
          <w:rFonts w:ascii="Arial" w:hAnsi="Arial" w:cs="Arial"/>
          <w:b/>
        </w:rPr>
        <w:instrText xml:space="preserve"> TOC \o "1-3" \h \z \u </w:instrText>
      </w:r>
      <w:r w:rsidRPr="000418D6">
        <w:rPr>
          <w:rFonts w:ascii="Arial" w:hAnsi="Arial" w:cs="Arial"/>
          <w:b/>
        </w:rPr>
        <w:fldChar w:fldCharType="separate"/>
      </w:r>
      <w:hyperlink w:anchor="_Toc366511801" w:history="1">
        <w:r w:rsidR="001A105A" w:rsidRPr="00EF4537">
          <w:rPr>
            <w:rStyle w:val="Hipercze"/>
            <w:noProof/>
          </w:rPr>
          <w:t>1.</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Structure of the Issuer's Capital Group and entities subject to consolidation.</w:t>
        </w:r>
        <w:r w:rsidR="001A105A">
          <w:rPr>
            <w:noProof/>
            <w:webHidden/>
          </w:rPr>
          <w:tab/>
        </w:r>
        <w:r>
          <w:rPr>
            <w:noProof/>
            <w:webHidden/>
          </w:rPr>
          <w:fldChar w:fldCharType="begin"/>
        </w:r>
        <w:r w:rsidR="001A105A">
          <w:rPr>
            <w:noProof/>
            <w:webHidden/>
          </w:rPr>
          <w:instrText xml:space="preserve"> PAGEREF _Toc366511801 \h </w:instrText>
        </w:r>
        <w:r>
          <w:rPr>
            <w:noProof/>
            <w:webHidden/>
          </w:rPr>
        </w:r>
        <w:r>
          <w:rPr>
            <w:noProof/>
            <w:webHidden/>
          </w:rPr>
          <w:fldChar w:fldCharType="separate"/>
        </w:r>
        <w:r w:rsidR="00F53DE7">
          <w:rPr>
            <w:noProof/>
            <w:webHidden/>
          </w:rPr>
          <w:t>3</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2" w:history="1">
        <w:r w:rsidR="001A105A" w:rsidRPr="00EF4537">
          <w:rPr>
            <w:rStyle w:val="Hipercze"/>
            <w:noProof/>
          </w:rPr>
          <w:t>2.</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Information on markets and sources of supply.</w:t>
        </w:r>
        <w:r w:rsidR="001A105A">
          <w:rPr>
            <w:noProof/>
            <w:webHidden/>
          </w:rPr>
          <w:tab/>
        </w:r>
        <w:r>
          <w:rPr>
            <w:noProof/>
            <w:webHidden/>
          </w:rPr>
          <w:fldChar w:fldCharType="begin"/>
        </w:r>
        <w:r w:rsidR="001A105A">
          <w:rPr>
            <w:noProof/>
            <w:webHidden/>
          </w:rPr>
          <w:instrText xml:space="preserve"> PAGEREF _Toc366511802 \h </w:instrText>
        </w:r>
        <w:r>
          <w:rPr>
            <w:noProof/>
            <w:webHidden/>
          </w:rPr>
        </w:r>
        <w:r>
          <w:rPr>
            <w:noProof/>
            <w:webHidden/>
          </w:rPr>
          <w:fldChar w:fldCharType="separate"/>
        </w:r>
        <w:r w:rsidR="00F53DE7">
          <w:rPr>
            <w:noProof/>
            <w:webHidden/>
          </w:rPr>
          <w:t>4</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3" w:history="1">
        <w:r w:rsidR="001A105A" w:rsidRPr="00EF4537">
          <w:rPr>
            <w:rStyle w:val="Hipercze"/>
            <w:noProof/>
          </w:rPr>
          <w:t>3.</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 xml:space="preserve">The discussion of the basic economic and financial results disclosed in the </w:t>
        </w:r>
        <w:r w:rsidR="000C233D">
          <w:rPr>
            <w:rStyle w:val="Hipercze"/>
            <w:noProof/>
          </w:rPr>
          <w:t>condensed</w:t>
        </w:r>
        <w:r w:rsidR="001A105A" w:rsidRPr="00EF4537">
          <w:rPr>
            <w:rStyle w:val="Hipercze"/>
            <w:noProof/>
          </w:rPr>
          <w:t xml:space="preserve"> consolidated interim financial statements, in particular the description of factors and events, including those of non-recurring nature, having a significant impact on the Group's business activities and its gained profits or suffered losses in the financial year, as well as the discussion of the Group's prospects for development in the next financial year.</w:t>
        </w:r>
        <w:r w:rsidR="001A105A">
          <w:rPr>
            <w:noProof/>
            <w:webHidden/>
          </w:rPr>
          <w:tab/>
        </w:r>
        <w:r>
          <w:rPr>
            <w:noProof/>
            <w:webHidden/>
          </w:rPr>
          <w:fldChar w:fldCharType="begin"/>
        </w:r>
        <w:r w:rsidR="001A105A">
          <w:rPr>
            <w:noProof/>
            <w:webHidden/>
          </w:rPr>
          <w:instrText xml:space="preserve"> PAGEREF _Toc366511803 \h </w:instrText>
        </w:r>
        <w:r>
          <w:rPr>
            <w:noProof/>
            <w:webHidden/>
          </w:rPr>
        </w:r>
        <w:r>
          <w:rPr>
            <w:noProof/>
            <w:webHidden/>
          </w:rPr>
          <w:fldChar w:fldCharType="separate"/>
        </w:r>
        <w:r w:rsidR="00F53DE7">
          <w:rPr>
            <w:noProof/>
            <w:webHidden/>
          </w:rPr>
          <w:t>5</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4" w:history="1">
        <w:r w:rsidR="001A105A" w:rsidRPr="00EF4537">
          <w:rPr>
            <w:rStyle w:val="Hipercze"/>
            <w:noProof/>
          </w:rPr>
          <w:t>4.</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Description of significant risks and hazards, identifying the extent to which the Companies of the Capital Group are exposed to them.</w:t>
        </w:r>
        <w:r w:rsidR="001A105A">
          <w:rPr>
            <w:noProof/>
            <w:webHidden/>
          </w:rPr>
          <w:tab/>
        </w:r>
        <w:r>
          <w:rPr>
            <w:noProof/>
            <w:webHidden/>
          </w:rPr>
          <w:fldChar w:fldCharType="begin"/>
        </w:r>
        <w:r w:rsidR="001A105A">
          <w:rPr>
            <w:noProof/>
            <w:webHidden/>
          </w:rPr>
          <w:instrText xml:space="preserve"> PAGEREF _Toc366511804 \h </w:instrText>
        </w:r>
        <w:r>
          <w:rPr>
            <w:noProof/>
            <w:webHidden/>
          </w:rPr>
        </w:r>
        <w:r>
          <w:rPr>
            <w:noProof/>
            <w:webHidden/>
          </w:rPr>
          <w:fldChar w:fldCharType="separate"/>
        </w:r>
        <w:r w:rsidR="00F53DE7">
          <w:rPr>
            <w:noProof/>
            <w:webHidden/>
          </w:rPr>
          <w:t>9</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5" w:history="1">
        <w:r w:rsidR="001A105A" w:rsidRPr="00EF4537">
          <w:rPr>
            <w:rStyle w:val="Hipercze"/>
            <w:noProof/>
          </w:rPr>
          <w:t>5.</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Factors that, in the Issuer's view, will affect its results.</w:t>
        </w:r>
        <w:r w:rsidR="001A105A">
          <w:rPr>
            <w:noProof/>
            <w:webHidden/>
          </w:rPr>
          <w:tab/>
        </w:r>
        <w:r>
          <w:rPr>
            <w:noProof/>
            <w:webHidden/>
          </w:rPr>
          <w:fldChar w:fldCharType="begin"/>
        </w:r>
        <w:r w:rsidR="001A105A">
          <w:rPr>
            <w:noProof/>
            <w:webHidden/>
          </w:rPr>
          <w:instrText xml:space="preserve"> PAGEREF _Toc366511805 \h </w:instrText>
        </w:r>
        <w:r>
          <w:rPr>
            <w:noProof/>
            <w:webHidden/>
          </w:rPr>
        </w:r>
        <w:r>
          <w:rPr>
            <w:noProof/>
            <w:webHidden/>
          </w:rPr>
          <w:fldChar w:fldCharType="separate"/>
        </w:r>
        <w:r w:rsidR="00F53DE7">
          <w:rPr>
            <w:noProof/>
            <w:webHidden/>
          </w:rPr>
          <w:t>10</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6" w:history="1">
        <w:r w:rsidR="001A105A" w:rsidRPr="00EF4537">
          <w:rPr>
            <w:rStyle w:val="Hipercze"/>
            <w:noProof/>
          </w:rPr>
          <w:t>6.</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Results of changes in the structure of the business entity, including results of business combinations, acquisitions or sales of entities in the Issuer's Capital Group, long-term investments, demergers, restructurings and discontinued operations.</w:t>
        </w:r>
        <w:r w:rsidR="001A105A">
          <w:rPr>
            <w:noProof/>
            <w:webHidden/>
          </w:rPr>
          <w:tab/>
        </w:r>
        <w:r>
          <w:rPr>
            <w:noProof/>
            <w:webHidden/>
          </w:rPr>
          <w:fldChar w:fldCharType="begin"/>
        </w:r>
        <w:r w:rsidR="001A105A">
          <w:rPr>
            <w:noProof/>
            <w:webHidden/>
          </w:rPr>
          <w:instrText xml:space="preserve"> PAGEREF _Toc366511806 \h </w:instrText>
        </w:r>
        <w:r>
          <w:rPr>
            <w:noProof/>
            <w:webHidden/>
          </w:rPr>
        </w:r>
        <w:r>
          <w:rPr>
            <w:noProof/>
            <w:webHidden/>
          </w:rPr>
          <w:fldChar w:fldCharType="separate"/>
        </w:r>
        <w:r w:rsidR="00F53DE7">
          <w:rPr>
            <w:noProof/>
            <w:webHidden/>
          </w:rPr>
          <w:t>10</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7" w:history="1">
        <w:r w:rsidR="001A105A" w:rsidRPr="00EF4537">
          <w:rPr>
            <w:rStyle w:val="Hipercze"/>
            <w:noProof/>
          </w:rPr>
          <w:t>7.</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Information that, in the Issuer's view, is critical for the assessment of staffing, material and financial situation, the financial result and any changes thereto, as well as information that is critical for the assessment of the Issuer's ability to perform its liabilities.</w:t>
        </w:r>
        <w:r w:rsidR="001A105A">
          <w:rPr>
            <w:noProof/>
            <w:webHidden/>
          </w:rPr>
          <w:tab/>
        </w:r>
        <w:r>
          <w:rPr>
            <w:noProof/>
            <w:webHidden/>
          </w:rPr>
          <w:fldChar w:fldCharType="begin"/>
        </w:r>
        <w:r w:rsidR="001A105A">
          <w:rPr>
            <w:noProof/>
            <w:webHidden/>
          </w:rPr>
          <w:instrText xml:space="preserve"> PAGEREF _Toc366511807 \h </w:instrText>
        </w:r>
        <w:r>
          <w:rPr>
            <w:noProof/>
            <w:webHidden/>
          </w:rPr>
        </w:r>
        <w:r>
          <w:rPr>
            <w:noProof/>
            <w:webHidden/>
          </w:rPr>
          <w:fldChar w:fldCharType="separate"/>
        </w:r>
        <w:r w:rsidR="00F53DE7">
          <w:rPr>
            <w:noProof/>
            <w:webHidden/>
          </w:rPr>
          <w:t>1</w:t>
        </w:r>
        <w:r>
          <w:rPr>
            <w:noProof/>
            <w:webHidden/>
          </w:rPr>
          <w:fldChar w:fldCharType="end"/>
        </w:r>
      </w:hyperlink>
      <w:r w:rsidR="00C74D65">
        <w:t>0</w:t>
      </w:r>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8" w:history="1">
        <w:r w:rsidR="001A105A" w:rsidRPr="00EF4537">
          <w:rPr>
            <w:rStyle w:val="Hipercze"/>
            <w:noProof/>
          </w:rPr>
          <w:t>8.</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The Management Board's view on the ability to deliver on the previously published result projections for the year, in the light of the results presented in the semi-annual report, compared to the projected results.</w:t>
        </w:r>
        <w:r w:rsidR="001A105A">
          <w:rPr>
            <w:noProof/>
            <w:webHidden/>
          </w:rPr>
          <w:tab/>
        </w:r>
        <w:r>
          <w:rPr>
            <w:noProof/>
            <w:webHidden/>
          </w:rPr>
          <w:fldChar w:fldCharType="begin"/>
        </w:r>
        <w:r w:rsidR="001A105A">
          <w:rPr>
            <w:noProof/>
            <w:webHidden/>
          </w:rPr>
          <w:instrText xml:space="preserve"> PAGEREF _Toc366511808 \h </w:instrText>
        </w:r>
        <w:r>
          <w:rPr>
            <w:noProof/>
            <w:webHidden/>
          </w:rPr>
        </w:r>
        <w:r>
          <w:rPr>
            <w:noProof/>
            <w:webHidden/>
          </w:rPr>
          <w:fldChar w:fldCharType="separate"/>
        </w:r>
        <w:r w:rsidR="00F53DE7">
          <w:rPr>
            <w:noProof/>
            <w:webHidden/>
          </w:rPr>
          <w:t>11</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09" w:history="1">
        <w:r w:rsidR="001A105A" w:rsidRPr="00EF4537">
          <w:rPr>
            <w:rStyle w:val="Hipercze"/>
            <w:noProof/>
          </w:rPr>
          <w:t>9.</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Proceedings pending before court, an authority competent to conduct arbitration proceedings or a public administration body.</w:t>
        </w:r>
        <w:r w:rsidR="001A105A">
          <w:rPr>
            <w:noProof/>
            <w:webHidden/>
          </w:rPr>
          <w:tab/>
        </w:r>
        <w:r>
          <w:rPr>
            <w:noProof/>
            <w:webHidden/>
          </w:rPr>
          <w:fldChar w:fldCharType="begin"/>
        </w:r>
        <w:r w:rsidR="001A105A">
          <w:rPr>
            <w:noProof/>
            <w:webHidden/>
          </w:rPr>
          <w:instrText xml:space="preserve"> PAGEREF _Toc366511809 \h </w:instrText>
        </w:r>
        <w:r>
          <w:rPr>
            <w:noProof/>
            <w:webHidden/>
          </w:rPr>
        </w:r>
        <w:r>
          <w:rPr>
            <w:noProof/>
            <w:webHidden/>
          </w:rPr>
          <w:fldChar w:fldCharType="separate"/>
        </w:r>
        <w:r w:rsidR="00F53DE7">
          <w:rPr>
            <w:noProof/>
            <w:webHidden/>
          </w:rPr>
          <w:t>11</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0" w:history="1">
        <w:r w:rsidR="001A105A" w:rsidRPr="00EF4537">
          <w:rPr>
            <w:rStyle w:val="Hipercze"/>
            <w:noProof/>
          </w:rPr>
          <w:t>10.</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Information on conclusion by the Issuer or its subsidiary of one or more related party transactions, if they are individually or jointly material and were concluded on non-market terms.</w:t>
        </w:r>
        <w:r w:rsidR="001A105A">
          <w:rPr>
            <w:noProof/>
            <w:webHidden/>
          </w:rPr>
          <w:tab/>
        </w:r>
        <w:r>
          <w:rPr>
            <w:noProof/>
            <w:webHidden/>
          </w:rPr>
          <w:fldChar w:fldCharType="begin"/>
        </w:r>
        <w:r w:rsidR="001A105A">
          <w:rPr>
            <w:noProof/>
            <w:webHidden/>
          </w:rPr>
          <w:instrText xml:space="preserve"> PAGEREF _Toc366511810 \h </w:instrText>
        </w:r>
        <w:r>
          <w:rPr>
            <w:noProof/>
            <w:webHidden/>
          </w:rPr>
        </w:r>
        <w:r>
          <w:rPr>
            <w:noProof/>
            <w:webHidden/>
          </w:rPr>
          <w:fldChar w:fldCharType="separate"/>
        </w:r>
        <w:r w:rsidR="00F53DE7">
          <w:rPr>
            <w:noProof/>
            <w:webHidden/>
          </w:rPr>
          <w:t>11</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1" w:history="1">
        <w:r w:rsidR="001A105A" w:rsidRPr="00EF4537">
          <w:rPr>
            <w:rStyle w:val="Hipercze"/>
            <w:noProof/>
          </w:rPr>
          <w:t>11.</w:t>
        </w:r>
        <w:r w:rsidR="001A105A">
          <w:rPr>
            <w:rFonts w:asciiTheme="minorHAnsi" w:eastAsiaTheme="minorEastAsia" w:hAnsiTheme="minorHAnsi" w:cstheme="minorBidi"/>
            <w:noProof/>
            <w:sz w:val="22"/>
            <w:szCs w:val="22"/>
            <w:lang w:val="pl-PL" w:eastAsia="pl-PL" w:bidi="ar-SA"/>
          </w:rPr>
          <w:tab/>
        </w:r>
        <w:r w:rsidR="002B0624" w:rsidRPr="002B0624">
          <w:rPr>
            <w:rStyle w:val="Hipercze"/>
            <w:noProof/>
          </w:rPr>
          <w:t xml:space="preserve">INFORMATION ON GRANTING </w:t>
        </w:r>
        <w:r w:rsidR="002B0624">
          <w:rPr>
            <w:rStyle w:val="Hipercze"/>
            <w:noProof/>
          </w:rPr>
          <w:t>BY ISSUER OR ITS SUBSIDIARY CREDIT</w:t>
        </w:r>
        <w:r w:rsidR="002B0624" w:rsidRPr="002B0624">
          <w:rPr>
            <w:rStyle w:val="Hipercze"/>
            <w:noProof/>
          </w:rPr>
          <w:t xml:space="preserve"> SURETIES, LOAN OR GRANTING A GUARANTEE IN TOTAL </w:t>
        </w:r>
        <w:r w:rsidR="002B0624">
          <w:rPr>
            <w:rStyle w:val="Hipercze"/>
            <w:noProof/>
          </w:rPr>
          <w:t xml:space="preserve">TO A </w:t>
        </w:r>
        <w:r w:rsidR="002B0624" w:rsidRPr="002B0624">
          <w:rPr>
            <w:rStyle w:val="Hipercze"/>
            <w:noProof/>
          </w:rPr>
          <w:t xml:space="preserve">SINGLE ENTITY OR ITS SUBSIDIARY, IF THE TOTAL VALUE OF SURETIES OR WARRANTY IS EQUAL TO AT LEAST 10% OF </w:t>
        </w:r>
        <w:r w:rsidR="00205F76">
          <w:rPr>
            <w:rStyle w:val="Hipercze"/>
            <w:noProof/>
          </w:rPr>
          <w:t xml:space="preserve">THE </w:t>
        </w:r>
        <w:r w:rsidR="002B0624" w:rsidRPr="002B0624">
          <w:rPr>
            <w:rStyle w:val="Hipercze"/>
            <w:noProof/>
          </w:rPr>
          <w:t>EQUITY</w:t>
        </w:r>
        <w:r w:rsidR="001A105A" w:rsidRPr="00EF4537">
          <w:rPr>
            <w:rStyle w:val="Hipercze"/>
            <w:noProof/>
          </w:rPr>
          <w:t>.</w:t>
        </w:r>
        <w:r w:rsidR="001A105A">
          <w:rPr>
            <w:noProof/>
            <w:webHidden/>
          </w:rPr>
          <w:tab/>
        </w:r>
        <w:r>
          <w:rPr>
            <w:noProof/>
            <w:webHidden/>
          </w:rPr>
          <w:fldChar w:fldCharType="begin"/>
        </w:r>
        <w:r w:rsidR="001A105A">
          <w:rPr>
            <w:noProof/>
            <w:webHidden/>
          </w:rPr>
          <w:instrText xml:space="preserve"> PAGEREF _Toc366511811 \h </w:instrText>
        </w:r>
        <w:r>
          <w:rPr>
            <w:noProof/>
            <w:webHidden/>
          </w:rPr>
        </w:r>
        <w:r>
          <w:rPr>
            <w:noProof/>
            <w:webHidden/>
          </w:rPr>
          <w:fldChar w:fldCharType="separate"/>
        </w:r>
        <w:r w:rsidR="00F53DE7">
          <w:rPr>
            <w:noProof/>
            <w:webHidden/>
          </w:rPr>
          <w:t>11</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2" w:history="1">
        <w:r w:rsidR="001A105A" w:rsidRPr="00EF4537">
          <w:rPr>
            <w:rStyle w:val="Hipercze"/>
            <w:noProof/>
          </w:rPr>
          <w:t>12.</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The indication of shareholders holding directly or indirectly, through subsidiaries, at least 5% of the total number of votes at the General Meeting of Issuer on the date of submitting this report, together with the indication of the number of shares held, the percentage share in the share capital, the number of votes and percentage of the total number of votes at the General Meeting, and the indication of any changes in the ownership of large blocks of the Issuer's shares in the period since the submission of the previous quarterly report.</w:t>
        </w:r>
        <w:r w:rsidR="001A105A">
          <w:rPr>
            <w:noProof/>
            <w:webHidden/>
          </w:rPr>
          <w:tab/>
        </w:r>
        <w:r>
          <w:rPr>
            <w:noProof/>
            <w:webHidden/>
          </w:rPr>
          <w:fldChar w:fldCharType="begin"/>
        </w:r>
        <w:r w:rsidR="001A105A">
          <w:rPr>
            <w:noProof/>
            <w:webHidden/>
          </w:rPr>
          <w:instrText xml:space="preserve"> PAGEREF _Toc366511812 \h </w:instrText>
        </w:r>
        <w:r>
          <w:rPr>
            <w:noProof/>
            <w:webHidden/>
          </w:rPr>
        </w:r>
        <w:r>
          <w:rPr>
            <w:noProof/>
            <w:webHidden/>
          </w:rPr>
          <w:fldChar w:fldCharType="separate"/>
        </w:r>
        <w:r w:rsidR="00F53DE7">
          <w:rPr>
            <w:noProof/>
            <w:webHidden/>
          </w:rPr>
          <w:t>11</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3" w:history="1">
        <w:r w:rsidR="001A105A" w:rsidRPr="00EF4537">
          <w:rPr>
            <w:rStyle w:val="Hipercze"/>
            <w:noProof/>
          </w:rPr>
          <w:t>13.</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Breakdown of the holding of the Issuer's shares or rights thereto by members of the Issuer's management and supervisory boards as at the date of submission of the semi-annual report, stating changes in ownership since the submission of the previous quarterly report, individually for each person.</w:t>
        </w:r>
        <w:r w:rsidR="001A105A">
          <w:rPr>
            <w:noProof/>
            <w:webHidden/>
          </w:rPr>
          <w:tab/>
        </w:r>
        <w:r>
          <w:rPr>
            <w:noProof/>
            <w:webHidden/>
          </w:rPr>
          <w:fldChar w:fldCharType="begin"/>
        </w:r>
        <w:r w:rsidR="001A105A">
          <w:rPr>
            <w:noProof/>
            <w:webHidden/>
          </w:rPr>
          <w:instrText xml:space="preserve"> PAGEREF _Toc366511813 \h </w:instrText>
        </w:r>
        <w:r>
          <w:rPr>
            <w:noProof/>
            <w:webHidden/>
          </w:rPr>
        </w:r>
        <w:r>
          <w:rPr>
            <w:noProof/>
            <w:webHidden/>
          </w:rPr>
          <w:fldChar w:fldCharType="separate"/>
        </w:r>
        <w:r w:rsidR="00F53DE7">
          <w:rPr>
            <w:noProof/>
            <w:webHidden/>
          </w:rPr>
          <w:t>12</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4" w:history="1">
        <w:r w:rsidR="001A105A" w:rsidRPr="00EF4537">
          <w:rPr>
            <w:rStyle w:val="Hipercze"/>
            <w:noProof/>
          </w:rPr>
          <w:t>14.</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Information about the issue, redemption and repayment of debt and equity securities.</w:t>
        </w:r>
        <w:r w:rsidR="001A105A">
          <w:rPr>
            <w:noProof/>
            <w:webHidden/>
          </w:rPr>
          <w:tab/>
        </w:r>
        <w:r>
          <w:rPr>
            <w:noProof/>
            <w:webHidden/>
          </w:rPr>
          <w:fldChar w:fldCharType="begin"/>
        </w:r>
        <w:r w:rsidR="001A105A">
          <w:rPr>
            <w:noProof/>
            <w:webHidden/>
          </w:rPr>
          <w:instrText xml:space="preserve"> PAGEREF _Toc366511814 \h </w:instrText>
        </w:r>
        <w:r>
          <w:rPr>
            <w:noProof/>
            <w:webHidden/>
          </w:rPr>
        </w:r>
        <w:r>
          <w:rPr>
            <w:noProof/>
            <w:webHidden/>
          </w:rPr>
          <w:fldChar w:fldCharType="separate"/>
        </w:r>
        <w:r w:rsidR="00F53DE7">
          <w:rPr>
            <w:noProof/>
            <w:webHidden/>
          </w:rPr>
          <w:t>12</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5" w:history="1">
        <w:r w:rsidR="001A105A" w:rsidRPr="00EF4537">
          <w:rPr>
            <w:rStyle w:val="Hipercze"/>
            <w:noProof/>
          </w:rPr>
          <w:t>15.</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Significant events after the balance sheet date.</w:t>
        </w:r>
        <w:r w:rsidR="001A105A">
          <w:rPr>
            <w:noProof/>
            <w:webHidden/>
          </w:rPr>
          <w:tab/>
        </w:r>
        <w:r>
          <w:rPr>
            <w:noProof/>
            <w:webHidden/>
          </w:rPr>
          <w:fldChar w:fldCharType="begin"/>
        </w:r>
        <w:r w:rsidR="001A105A">
          <w:rPr>
            <w:noProof/>
            <w:webHidden/>
          </w:rPr>
          <w:instrText xml:space="preserve"> PAGEREF _Toc366511815 \h </w:instrText>
        </w:r>
        <w:r>
          <w:rPr>
            <w:noProof/>
            <w:webHidden/>
          </w:rPr>
        </w:r>
        <w:r>
          <w:rPr>
            <w:noProof/>
            <w:webHidden/>
          </w:rPr>
          <w:fldChar w:fldCharType="separate"/>
        </w:r>
        <w:r w:rsidR="00F53DE7">
          <w:rPr>
            <w:noProof/>
            <w:webHidden/>
          </w:rPr>
          <w:t>12</w:t>
        </w:r>
        <w:r>
          <w:rPr>
            <w:noProof/>
            <w:webHidden/>
          </w:rPr>
          <w:fldChar w:fldCharType="end"/>
        </w:r>
      </w:hyperlink>
    </w:p>
    <w:p w:rsidR="001A105A" w:rsidRDefault="000418D6" w:rsidP="003B4DA5">
      <w:pPr>
        <w:pStyle w:val="Spistreci1"/>
        <w:rPr>
          <w:rFonts w:asciiTheme="minorHAnsi" w:eastAsiaTheme="minorEastAsia" w:hAnsiTheme="minorHAnsi" w:cstheme="minorBidi"/>
          <w:noProof/>
          <w:sz w:val="22"/>
          <w:szCs w:val="22"/>
          <w:lang w:val="pl-PL" w:eastAsia="pl-PL" w:bidi="ar-SA"/>
        </w:rPr>
      </w:pPr>
      <w:hyperlink w:anchor="_Toc366511816" w:history="1">
        <w:r w:rsidR="001A105A" w:rsidRPr="00EF4537">
          <w:rPr>
            <w:rStyle w:val="Hipercze"/>
            <w:noProof/>
          </w:rPr>
          <w:t>16.</w:t>
        </w:r>
        <w:r w:rsidR="001A105A">
          <w:rPr>
            <w:rFonts w:asciiTheme="minorHAnsi" w:eastAsiaTheme="minorEastAsia" w:hAnsiTheme="minorHAnsi" w:cstheme="minorBidi"/>
            <w:noProof/>
            <w:sz w:val="22"/>
            <w:szCs w:val="22"/>
            <w:lang w:val="pl-PL" w:eastAsia="pl-PL" w:bidi="ar-SA"/>
          </w:rPr>
          <w:tab/>
        </w:r>
        <w:r w:rsidR="001A105A" w:rsidRPr="00EF4537">
          <w:rPr>
            <w:rStyle w:val="Hipercze"/>
            <w:noProof/>
          </w:rPr>
          <w:t>Statement of the Management Board of the dominant company of CCC S.A. Capital Group.</w:t>
        </w:r>
        <w:r w:rsidR="001A105A">
          <w:rPr>
            <w:noProof/>
            <w:webHidden/>
          </w:rPr>
          <w:tab/>
        </w:r>
        <w:r>
          <w:rPr>
            <w:noProof/>
            <w:webHidden/>
          </w:rPr>
          <w:fldChar w:fldCharType="begin"/>
        </w:r>
        <w:r w:rsidR="001A105A">
          <w:rPr>
            <w:noProof/>
            <w:webHidden/>
          </w:rPr>
          <w:instrText xml:space="preserve"> PAGEREF _Toc366511816 \h </w:instrText>
        </w:r>
        <w:r>
          <w:rPr>
            <w:noProof/>
            <w:webHidden/>
          </w:rPr>
        </w:r>
        <w:r>
          <w:rPr>
            <w:noProof/>
            <w:webHidden/>
          </w:rPr>
          <w:fldChar w:fldCharType="separate"/>
        </w:r>
        <w:r w:rsidR="00F53DE7">
          <w:rPr>
            <w:noProof/>
            <w:webHidden/>
          </w:rPr>
          <w:t>12</w:t>
        </w:r>
        <w:r>
          <w:rPr>
            <w:noProof/>
            <w:webHidden/>
          </w:rPr>
          <w:fldChar w:fldCharType="end"/>
        </w:r>
      </w:hyperlink>
    </w:p>
    <w:p w:rsidR="00CE7795" w:rsidRPr="004B4CA1" w:rsidRDefault="000418D6" w:rsidP="003B4DA5">
      <w:pPr>
        <w:pStyle w:val="Spistreci1"/>
        <w:ind w:left="0" w:firstLine="0"/>
        <w:rPr>
          <w:sz w:val="24"/>
        </w:rPr>
      </w:pPr>
      <w:r w:rsidRPr="004B4CA1">
        <w:lastRenderedPageBreak/>
        <w:fldChar w:fldCharType="end"/>
      </w:r>
    </w:p>
    <w:p w:rsidR="00CE7795" w:rsidRPr="004B4CA1" w:rsidRDefault="00337839" w:rsidP="00275A91">
      <w:pPr>
        <w:pStyle w:val="Nagwek1"/>
      </w:pPr>
      <w:bookmarkStart w:id="0" w:name="_Toc325723758"/>
      <w:bookmarkStart w:id="1" w:name="_Toc366511801"/>
      <w:r>
        <w:t>Organization s</w:t>
      </w:r>
      <w:r w:rsidR="00CE7795">
        <w:t>tructure of the Issuer's Capital Group and entities subject to consolidation.</w:t>
      </w:r>
      <w:bookmarkEnd w:id="0"/>
      <w:bookmarkEnd w:id="1"/>
    </w:p>
    <w:p w:rsidR="0086492B" w:rsidRPr="004B4CA1" w:rsidRDefault="000D3E9F" w:rsidP="000D3E9F">
      <w:pPr>
        <w:pStyle w:val="Tekstpodstawowywcity"/>
        <w:ind w:left="0"/>
        <w:jc w:val="both"/>
        <w:rPr>
          <w:rFonts w:cs="Arial"/>
        </w:rPr>
      </w:pPr>
      <w:r>
        <w:t xml:space="preserve">CCC S.A. </w:t>
      </w:r>
      <w:r w:rsidR="00337839">
        <w:t xml:space="preserve">is the dominant entity in </w:t>
      </w:r>
      <w:r w:rsidR="00D90824">
        <w:t xml:space="preserve">the </w:t>
      </w:r>
      <w:r>
        <w:t xml:space="preserve">Capital Group </w:t>
      </w:r>
      <w:r w:rsidR="00D90824">
        <w:t xml:space="preserve">CCC S.A.. </w:t>
      </w:r>
      <w:r w:rsidR="00322BD7" w:rsidRPr="00322BD7">
        <w:t>Subsidiarie</w:t>
      </w:r>
      <w:r w:rsidR="00211171">
        <w:t>s of CCC S.A. are presented in t</w:t>
      </w:r>
      <w:r w:rsidR="00322BD7" w:rsidRPr="00322BD7">
        <w:t>able 1.</w:t>
      </w:r>
    </w:p>
    <w:p w:rsidR="00CE7795" w:rsidRPr="004B4CA1" w:rsidRDefault="00CE7795" w:rsidP="00CE7795"/>
    <w:p w:rsidR="00B607D4" w:rsidRPr="004B4CA1" w:rsidRDefault="00B607D4" w:rsidP="00CB05AB">
      <w:pPr>
        <w:pStyle w:val="Legenda"/>
        <w:jc w:val="both"/>
      </w:pPr>
      <w:r>
        <w:t xml:space="preserve">Table </w:t>
      </w:r>
      <w:r w:rsidR="000418D6" w:rsidRPr="004B4CA1">
        <w:rPr>
          <w:szCs w:val="20"/>
        </w:rPr>
        <w:fldChar w:fldCharType="begin"/>
      </w:r>
      <w:r w:rsidRPr="004B4CA1">
        <w:rPr>
          <w:szCs w:val="20"/>
        </w:rPr>
        <w:instrText xml:space="preserve"> SEQ Tabela \* ARABIC </w:instrText>
      </w:r>
      <w:r w:rsidR="000418D6" w:rsidRPr="004B4CA1">
        <w:rPr>
          <w:szCs w:val="20"/>
        </w:rPr>
        <w:fldChar w:fldCharType="separate"/>
      </w:r>
      <w:r w:rsidR="00CB64CA" w:rsidRPr="004B4CA1">
        <w:rPr>
          <w:noProof/>
          <w:szCs w:val="20"/>
        </w:rPr>
        <w:t>1</w:t>
      </w:r>
      <w:r w:rsidR="000418D6" w:rsidRPr="004B4CA1">
        <w:rPr>
          <w:szCs w:val="20"/>
        </w:rPr>
        <w:fldChar w:fldCharType="end"/>
      </w:r>
      <w:r>
        <w:t xml:space="preserve">. Entities comprising </w:t>
      </w:r>
      <w:r w:rsidR="00211171">
        <w:t xml:space="preserve">the Capital Group </w:t>
      </w:r>
      <w:r>
        <w:t xml:space="preserve">CCC S.A. </w:t>
      </w:r>
      <w:r w:rsidR="00211171">
        <w:t>as of</w:t>
      </w:r>
      <w:r>
        <w:t xml:space="preserve"> 30.06.</w:t>
      </w:r>
      <w:r w:rsidR="006426A9">
        <w:t>2014</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2874"/>
        <w:gridCol w:w="2194"/>
        <w:gridCol w:w="2192"/>
        <w:gridCol w:w="2346"/>
      </w:tblGrid>
      <w:tr w:rsidR="00CB05AB" w:rsidRPr="004B4CA1" w:rsidTr="00B53A25">
        <w:trPr>
          <w:trHeight w:val="472"/>
          <w:tblCellSpacing w:w="20" w:type="dxa"/>
        </w:trPr>
        <w:tc>
          <w:tcPr>
            <w:tcW w:w="1464" w:type="pct"/>
            <w:shd w:val="clear" w:color="auto" w:fill="D9D9D9" w:themeFill="background1" w:themeFillShade="D9"/>
            <w:vAlign w:val="center"/>
          </w:tcPr>
          <w:p w:rsidR="00CB05AB" w:rsidRPr="004B4CA1" w:rsidRDefault="00CB05AB" w:rsidP="00B36738">
            <w:pPr>
              <w:jc w:val="center"/>
              <w:rPr>
                <w:rFonts w:cs="Arial"/>
                <w:b/>
                <w:bCs/>
                <w:sz w:val="18"/>
              </w:rPr>
            </w:pPr>
            <w:r>
              <w:rPr>
                <w:b/>
                <w:sz w:val="18"/>
              </w:rPr>
              <w:t>Subsidiaries of CCC S.A.</w:t>
            </w:r>
          </w:p>
        </w:tc>
        <w:tc>
          <w:tcPr>
            <w:tcW w:w="1120" w:type="pct"/>
            <w:shd w:val="clear" w:color="auto" w:fill="D9D9D9" w:themeFill="background1" w:themeFillShade="D9"/>
            <w:vAlign w:val="center"/>
          </w:tcPr>
          <w:p w:rsidR="00CB05AB" w:rsidRPr="004B4CA1" w:rsidRDefault="00CB05AB" w:rsidP="00E279E7">
            <w:pPr>
              <w:jc w:val="center"/>
              <w:rPr>
                <w:rFonts w:cs="Arial"/>
                <w:b/>
                <w:bCs/>
                <w:sz w:val="18"/>
              </w:rPr>
            </w:pPr>
            <w:r>
              <w:rPr>
                <w:b/>
                <w:sz w:val="18"/>
              </w:rPr>
              <w:t>Registered office/Country</w:t>
            </w:r>
          </w:p>
        </w:tc>
        <w:tc>
          <w:tcPr>
            <w:tcW w:w="1119" w:type="pct"/>
            <w:shd w:val="clear" w:color="auto" w:fill="D9D9D9" w:themeFill="background1" w:themeFillShade="D9"/>
            <w:vAlign w:val="center"/>
          </w:tcPr>
          <w:p w:rsidR="00CB05AB" w:rsidRPr="004B4CA1" w:rsidRDefault="00CB05AB" w:rsidP="00E279E7">
            <w:pPr>
              <w:jc w:val="center"/>
              <w:rPr>
                <w:rFonts w:cs="Arial"/>
                <w:b/>
                <w:bCs/>
                <w:sz w:val="18"/>
              </w:rPr>
            </w:pPr>
            <w:r>
              <w:rPr>
                <w:b/>
                <w:sz w:val="18"/>
              </w:rPr>
              <w:t>Percentage share in the entity's capital</w:t>
            </w:r>
          </w:p>
        </w:tc>
        <w:tc>
          <w:tcPr>
            <w:tcW w:w="1189" w:type="pct"/>
            <w:shd w:val="clear" w:color="auto" w:fill="D9D9D9" w:themeFill="background1" w:themeFillShade="D9"/>
            <w:vAlign w:val="center"/>
          </w:tcPr>
          <w:p w:rsidR="00CB05AB" w:rsidRPr="004B4CA1" w:rsidRDefault="00CB05AB" w:rsidP="00E279E7">
            <w:pPr>
              <w:jc w:val="center"/>
              <w:rPr>
                <w:rFonts w:cs="Arial"/>
                <w:b/>
                <w:bCs/>
                <w:sz w:val="18"/>
              </w:rPr>
            </w:pPr>
            <w:r>
              <w:rPr>
                <w:b/>
                <w:sz w:val="18"/>
              </w:rPr>
              <w:t>Consolidation</w:t>
            </w:r>
          </w:p>
        </w:tc>
      </w:tr>
      <w:tr w:rsidR="00CB05AB" w:rsidRPr="004B4CA1" w:rsidTr="00E279E7">
        <w:trPr>
          <w:trHeight w:val="485"/>
          <w:tblCellSpacing w:w="20" w:type="dxa"/>
        </w:trPr>
        <w:tc>
          <w:tcPr>
            <w:tcW w:w="1464" w:type="pct"/>
            <w:vAlign w:val="center"/>
          </w:tcPr>
          <w:p w:rsidR="00CB05AB" w:rsidRPr="004B4CA1" w:rsidRDefault="00CB05AB" w:rsidP="00615FDF">
            <w:pPr>
              <w:rPr>
                <w:rFonts w:cs="Arial"/>
                <w:sz w:val="18"/>
              </w:rPr>
            </w:pPr>
            <w:r>
              <w:rPr>
                <w:sz w:val="18"/>
              </w:rPr>
              <w:t xml:space="preserve">CCC Factory Sp. z o.o. </w:t>
            </w:r>
          </w:p>
        </w:tc>
        <w:tc>
          <w:tcPr>
            <w:tcW w:w="1120" w:type="pct"/>
            <w:vAlign w:val="center"/>
          </w:tcPr>
          <w:p w:rsidR="00CB05AB" w:rsidRPr="004B4CA1" w:rsidRDefault="00CB05AB" w:rsidP="00E279E7">
            <w:pPr>
              <w:jc w:val="center"/>
              <w:rPr>
                <w:rFonts w:cs="Arial"/>
                <w:sz w:val="18"/>
                <w:szCs w:val="18"/>
              </w:rPr>
            </w:pPr>
            <w:r>
              <w:rPr>
                <w:sz w:val="18"/>
              </w:rPr>
              <w:t>Polkowice, Poland</w:t>
            </w:r>
          </w:p>
        </w:tc>
        <w:tc>
          <w:tcPr>
            <w:tcW w:w="1119" w:type="pct"/>
            <w:vAlign w:val="center"/>
          </w:tcPr>
          <w:p w:rsidR="00CB05AB" w:rsidRPr="004B4CA1" w:rsidRDefault="00CB05AB" w:rsidP="00E279E7">
            <w:pPr>
              <w:jc w:val="center"/>
              <w:rPr>
                <w:rFonts w:cs="Arial"/>
                <w:sz w:val="18"/>
              </w:rPr>
            </w:pPr>
            <w:r>
              <w:rPr>
                <w:sz w:val="18"/>
              </w:rPr>
              <w:t>100</w:t>
            </w:r>
          </w:p>
        </w:tc>
        <w:tc>
          <w:tcPr>
            <w:tcW w:w="1189" w:type="pct"/>
            <w:vAlign w:val="center"/>
          </w:tcPr>
          <w:p w:rsidR="00CB05AB" w:rsidRPr="004B4CA1" w:rsidRDefault="00CB05AB" w:rsidP="00E279E7">
            <w:pPr>
              <w:jc w:val="center"/>
              <w:rPr>
                <w:rFonts w:cs="Arial"/>
                <w:sz w:val="18"/>
              </w:rPr>
            </w:pPr>
            <w:r>
              <w:rPr>
                <w:sz w:val="18"/>
              </w:rPr>
              <w:t>full</w:t>
            </w:r>
          </w:p>
        </w:tc>
      </w:tr>
      <w:tr w:rsidR="00CB05AB" w:rsidRPr="004B4CA1" w:rsidTr="00E279E7">
        <w:trPr>
          <w:trHeight w:val="486"/>
          <w:tblCellSpacing w:w="20" w:type="dxa"/>
        </w:trPr>
        <w:tc>
          <w:tcPr>
            <w:tcW w:w="1464" w:type="pct"/>
            <w:vAlign w:val="center"/>
          </w:tcPr>
          <w:p w:rsidR="00CB05AB" w:rsidRPr="00CA03EC" w:rsidRDefault="000F20C2" w:rsidP="00E279E7">
            <w:pPr>
              <w:rPr>
                <w:rFonts w:cs="Arial"/>
                <w:sz w:val="18"/>
                <w:lang w:val="pl-PL"/>
              </w:rPr>
            </w:pPr>
            <w:r w:rsidRPr="00CA03EC">
              <w:rPr>
                <w:sz w:val="18"/>
                <w:lang w:val="pl-PL"/>
              </w:rPr>
              <w:t>CCC Czech s.r.o.</w:t>
            </w:r>
          </w:p>
        </w:tc>
        <w:tc>
          <w:tcPr>
            <w:tcW w:w="1120" w:type="pct"/>
            <w:vAlign w:val="center"/>
          </w:tcPr>
          <w:p w:rsidR="00CB05AB" w:rsidRPr="004B4CA1" w:rsidRDefault="00CB05AB" w:rsidP="00E279E7">
            <w:pPr>
              <w:jc w:val="center"/>
              <w:rPr>
                <w:rFonts w:cs="Arial"/>
                <w:sz w:val="18"/>
                <w:szCs w:val="18"/>
              </w:rPr>
            </w:pPr>
            <w:r>
              <w:rPr>
                <w:sz w:val="18"/>
              </w:rPr>
              <w:t>Prague, the Czech Republic</w:t>
            </w:r>
          </w:p>
        </w:tc>
        <w:tc>
          <w:tcPr>
            <w:tcW w:w="1119" w:type="pct"/>
            <w:vAlign w:val="center"/>
          </w:tcPr>
          <w:p w:rsidR="00CB05AB" w:rsidRPr="004B4CA1" w:rsidRDefault="00CB05AB" w:rsidP="00E279E7">
            <w:pPr>
              <w:jc w:val="center"/>
              <w:rPr>
                <w:rFonts w:cs="Arial"/>
                <w:sz w:val="18"/>
              </w:rPr>
            </w:pPr>
            <w:r>
              <w:rPr>
                <w:sz w:val="18"/>
              </w:rPr>
              <w:t>100</w:t>
            </w:r>
          </w:p>
        </w:tc>
        <w:tc>
          <w:tcPr>
            <w:tcW w:w="1189" w:type="pct"/>
            <w:vAlign w:val="center"/>
          </w:tcPr>
          <w:p w:rsidR="00CB05AB" w:rsidRPr="004B4CA1" w:rsidRDefault="00CB05AB" w:rsidP="00E279E7">
            <w:pPr>
              <w:jc w:val="center"/>
              <w:rPr>
                <w:rFonts w:cs="Arial"/>
                <w:sz w:val="18"/>
              </w:rPr>
            </w:pPr>
            <w:r>
              <w:rPr>
                <w:sz w:val="18"/>
              </w:rPr>
              <w:t>full</w:t>
            </w:r>
          </w:p>
        </w:tc>
      </w:tr>
      <w:tr w:rsidR="00CB05AB" w:rsidRPr="004B4CA1" w:rsidTr="00E279E7">
        <w:trPr>
          <w:trHeight w:val="486"/>
          <w:tblCellSpacing w:w="20" w:type="dxa"/>
        </w:trPr>
        <w:tc>
          <w:tcPr>
            <w:tcW w:w="1464" w:type="pct"/>
            <w:vAlign w:val="center"/>
          </w:tcPr>
          <w:p w:rsidR="00CB05AB" w:rsidRPr="004B4CA1" w:rsidRDefault="000F20C2" w:rsidP="00315E75">
            <w:pPr>
              <w:contextualSpacing/>
              <w:rPr>
                <w:rFonts w:cs="Arial"/>
                <w:bCs/>
                <w:iCs/>
                <w:sz w:val="18"/>
                <w:szCs w:val="18"/>
              </w:rPr>
            </w:pPr>
            <w:r>
              <w:rPr>
                <w:sz w:val="18"/>
              </w:rPr>
              <w:t>CCC Slovakia s.r.o.</w:t>
            </w:r>
          </w:p>
        </w:tc>
        <w:tc>
          <w:tcPr>
            <w:tcW w:w="1120" w:type="pct"/>
            <w:vAlign w:val="center"/>
          </w:tcPr>
          <w:p w:rsidR="00CB05AB" w:rsidRPr="004B4CA1" w:rsidRDefault="00CB05AB" w:rsidP="000F20C2">
            <w:pPr>
              <w:ind w:right="-142"/>
              <w:jc w:val="center"/>
              <w:rPr>
                <w:rFonts w:eastAsia="Arial Unicode MS" w:cs="Arial"/>
                <w:sz w:val="18"/>
                <w:szCs w:val="18"/>
              </w:rPr>
            </w:pPr>
            <w:r>
              <w:rPr>
                <w:sz w:val="18"/>
              </w:rPr>
              <w:t>Bratislava, Slovakia</w:t>
            </w:r>
          </w:p>
        </w:tc>
        <w:tc>
          <w:tcPr>
            <w:tcW w:w="1119" w:type="pct"/>
            <w:vAlign w:val="center"/>
          </w:tcPr>
          <w:p w:rsidR="00CB05AB" w:rsidRPr="004B4CA1" w:rsidRDefault="00CB05AB" w:rsidP="00E279E7">
            <w:pPr>
              <w:jc w:val="center"/>
              <w:rPr>
                <w:rFonts w:eastAsia="Arial Unicode MS" w:cs="Arial"/>
                <w:sz w:val="18"/>
                <w:szCs w:val="18"/>
              </w:rPr>
            </w:pPr>
            <w:r>
              <w:rPr>
                <w:sz w:val="18"/>
              </w:rPr>
              <w:t>100</w:t>
            </w:r>
          </w:p>
        </w:tc>
        <w:tc>
          <w:tcPr>
            <w:tcW w:w="1189" w:type="pct"/>
            <w:vAlign w:val="center"/>
          </w:tcPr>
          <w:p w:rsidR="00CB05AB" w:rsidRPr="004B4CA1" w:rsidRDefault="00CB05AB" w:rsidP="00E279E7">
            <w:pPr>
              <w:tabs>
                <w:tab w:val="left" w:pos="856"/>
              </w:tabs>
              <w:jc w:val="center"/>
              <w:rPr>
                <w:rFonts w:eastAsia="Arial Unicode MS" w:cs="Arial"/>
                <w:sz w:val="18"/>
                <w:szCs w:val="18"/>
              </w:rPr>
            </w:pPr>
            <w:r>
              <w:rPr>
                <w:sz w:val="18"/>
              </w:rPr>
              <w:t>full</w:t>
            </w:r>
          </w:p>
        </w:tc>
      </w:tr>
      <w:tr w:rsidR="000F20C2" w:rsidRPr="004B4CA1" w:rsidTr="00E279E7">
        <w:trPr>
          <w:trHeight w:val="486"/>
          <w:tblCellSpacing w:w="20" w:type="dxa"/>
        </w:trPr>
        <w:tc>
          <w:tcPr>
            <w:tcW w:w="1464" w:type="pct"/>
            <w:vAlign w:val="center"/>
          </w:tcPr>
          <w:p w:rsidR="000F20C2" w:rsidRPr="004B4CA1" w:rsidRDefault="000F20C2" w:rsidP="00E279E7">
            <w:pPr>
              <w:rPr>
                <w:rFonts w:cs="Arial"/>
                <w:sz w:val="18"/>
                <w:szCs w:val="18"/>
              </w:rPr>
            </w:pPr>
            <w:r>
              <w:rPr>
                <w:sz w:val="18"/>
              </w:rPr>
              <w:t>CCC Hungary</w:t>
            </w:r>
            <w:r w:rsidR="00322BD7">
              <w:rPr>
                <w:sz w:val="18"/>
              </w:rPr>
              <w:t xml:space="preserve"> Shoes</w:t>
            </w:r>
            <w:r>
              <w:rPr>
                <w:sz w:val="18"/>
              </w:rPr>
              <w:t xml:space="preserve"> </w:t>
            </w:r>
            <w:proofErr w:type="spellStart"/>
            <w:r>
              <w:rPr>
                <w:sz w:val="18"/>
              </w:rPr>
              <w:t>Kft</w:t>
            </w:r>
            <w:proofErr w:type="spellEnd"/>
            <w:r>
              <w:rPr>
                <w:sz w:val="18"/>
              </w:rPr>
              <w:t>.</w:t>
            </w:r>
          </w:p>
        </w:tc>
        <w:tc>
          <w:tcPr>
            <w:tcW w:w="1120" w:type="pct"/>
            <w:vAlign w:val="center"/>
          </w:tcPr>
          <w:p w:rsidR="000F20C2" w:rsidRPr="004B4CA1" w:rsidRDefault="000F20C2" w:rsidP="000F20C2">
            <w:pPr>
              <w:ind w:right="-142"/>
              <w:jc w:val="center"/>
              <w:rPr>
                <w:rFonts w:eastAsia="Arial Unicode MS"/>
                <w:sz w:val="18"/>
                <w:szCs w:val="18"/>
              </w:rPr>
            </w:pPr>
            <w:r>
              <w:rPr>
                <w:sz w:val="18"/>
              </w:rPr>
              <w:t>Budapest, Hungary</w:t>
            </w:r>
          </w:p>
        </w:tc>
        <w:tc>
          <w:tcPr>
            <w:tcW w:w="1119" w:type="pct"/>
            <w:vAlign w:val="center"/>
          </w:tcPr>
          <w:p w:rsidR="000F20C2" w:rsidRPr="004B4CA1" w:rsidRDefault="000F20C2" w:rsidP="006E4264">
            <w:pPr>
              <w:jc w:val="center"/>
              <w:rPr>
                <w:rFonts w:eastAsia="Arial Unicode MS"/>
                <w:sz w:val="18"/>
                <w:szCs w:val="18"/>
              </w:rPr>
            </w:pPr>
            <w:r>
              <w:rPr>
                <w:sz w:val="18"/>
              </w:rPr>
              <w:t>100</w:t>
            </w:r>
          </w:p>
        </w:tc>
        <w:tc>
          <w:tcPr>
            <w:tcW w:w="1189" w:type="pct"/>
            <w:vAlign w:val="center"/>
          </w:tcPr>
          <w:p w:rsidR="000F20C2" w:rsidRPr="004B4CA1" w:rsidRDefault="000F20C2" w:rsidP="006E4264">
            <w:pPr>
              <w:tabs>
                <w:tab w:val="left" w:pos="856"/>
              </w:tabs>
              <w:jc w:val="center"/>
              <w:rPr>
                <w:rFonts w:eastAsia="Arial Unicode MS"/>
                <w:sz w:val="18"/>
                <w:szCs w:val="18"/>
              </w:rPr>
            </w:pPr>
            <w:r>
              <w:rPr>
                <w:sz w:val="18"/>
              </w:rPr>
              <w:t>full</w:t>
            </w:r>
          </w:p>
        </w:tc>
      </w:tr>
      <w:tr w:rsidR="000F20C2" w:rsidRPr="004B4CA1" w:rsidTr="00E279E7">
        <w:trPr>
          <w:trHeight w:val="486"/>
          <w:tblCellSpacing w:w="20" w:type="dxa"/>
        </w:trPr>
        <w:tc>
          <w:tcPr>
            <w:tcW w:w="1464" w:type="pct"/>
            <w:vAlign w:val="center"/>
          </w:tcPr>
          <w:p w:rsidR="000F20C2" w:rsidRPr="00D12632" w:rsidRDefault="000F20C2" w:rsidP="00E279E7">
            <w:pPr>
              <w:rPr>
                <w:rFonts w:cs="Arial"/>
                <w:sz w:val="18"/>
                <w:szCs w:val="18"/>
              </w:rPr>
            </w:pPr>
            <w:r>
              <w:rPr>
                <w:sz w:val="18"/>
              </w:rPr>
              <w:t>CCC Austria Ges.M.b.H.</w:t>
            </w:r>
          </w:p>
        </w:tc>
        <w:tc>
          <w:tcPr>
            <w:tcW w:w="1120" w:type="pct"/>
            <w:vAlign w:val="center"/>
          </w:tcPr>
          <w:p w:rsidR="000F20C2" w:rsidRPr="004B4CA1" w:rsidRDefault="000F20C2" w:rsidP="000F20C2">
            <w:pPr>
              <w:ind w:right="-142"/>
              <w:jc w:val="center"/>
              <w:rPr>
                <w:rFonts w:eastAsia="Arial Unicode MS"/>
                <w:sz w:val="18"/>
                <w:szCs w:val="18"/>
              </w:rPr>
            </w:pPr>
            <w:r>
              <w:rPr>
                <w:sz w:val="18"/>
              </w:rPr>
              <w:t>Graz, Austria</w:t>
            </w:r>
          </w:p>
        </w:tc>
        <w:tc>
          <w:tcPr>
            <w:tcW w:w="1119" w:type="pct"/>
            <w:vAlign w:val="center"/>
          </w:tcPr>
          <w:p w:rsidR="000F20C2" w:rsidRPr="004B4CA1" w:rsidRDefault="000F20C2" w:rsidP="006E4264">
            <w:pPr>
              <w:jc w:val="center"/>
              <w:rPr>
                <w:rFonts w:eastAsia="Arial Unicode MS"/>
                <w:sz w:val="18"/>
                <w:szCs w:val="18"/>
              </w:rPr>
            </w:pPr>
            <w:r>
              <w:rPr>
                <w:sz w:val="18"/>
              </w:rPr>
              <w:t>100</w:t>
            </w:r>
          </w:p>
        </w:tc>
        <w:tc>
          <w:tcPr>
            <w:tcW w:w="1189" w:type="pct"/>
            <w:vAlign w:val="center"/>
          </w:tcPr>
          <w:p w:rsidR="000F20C2" w:rsidRPr="004B4CA1" w:rsidRDefault="000F20C2" w:rsidP="006E4264">
            <w:pPr>
              <w:tabs>
                <w:tab w:val="left" w:pos="856"/>
              </w:tabs>
              <w:jc w:val="center"/>
              <w:rPr>
                <w:rFonts w:eastAsia="Arial Unicode MS"/>
                <w:sz w:val="18"/>
                <w:szCs w:val="18"/>
              </w:rPr>
            </w:pPr>
            <w:r>
              <w:rPr>
                <w:sz w:val="18"/>
              </w:rPr>
              <w:t>full</w:t>
            </w:r>
          </w:p>
        </w:tc>
      </w:tr>
      <w:tr w:rsidR="000F20C2" w:rsidRPr="004B4CA1" w:rsidTr="00E279E7">
        <w:trPr>
          <w:trHeight w:val="486"/>
          <w:tblCellSpacing w:w="20" w:type="dxa"/>
        </w:trPr>
        <w:tc>
          <w:tcPr>
            <w:tcW w:w="1464" w:type="pct"/>
            <w:vAlign w:val="center"/>
          </w:tcPr>
          <w:p w:rsidR="000F20C2" w:rsidRPr="00D12632" w:rsidRDefault="00EF064A" w:rsidP="00E279E7">
            <w:pPr>
              <w:rPr>
                <w:rFonts w:cs="Arial"/>
                <w:sz w:val="18"/>
                <w:szCs w:val="18"/>
              </w:rPr>
            </w:pPr>
            <w:r>
              <w:t>CCC Shoes Ayakkabıcılık Ticaret Limited Sirketi</w:t>
            </w:r>
          </w:p>
        </w:tc>
        <w:tc>
          <w:tcPr>
            <w:tcW w:w="1120" w:type="pct"/>
            <w:vAlign w:val="center"/>
          </w:tcPr>
          <w:p w:rsidR="000F20C2" w:rsidRPr="004B4CA1" w:rsidRDefault="00EF064A" w:rsidP="00E279E7">
            <w:pPr>
              <w:jc w:val="center"/>
              <w:rPr>
                <w:rFonts w:cs="Arial"/>
                <w:sz w:val="18"/>
                <w:szCs w:val="18"/>
              </w:rPr>
            </w:pPr>
            <w:r>
              <w:rPr>
                <w:sz w:val="18"/>
              </w:rPr>
              <w:t>Istanbul, Turkey</w:t>
            </w:r>
          </w:p>
        </w:tc>
        <w:tc>
          <w:tcPr>
            <w:tcW w:w="1119" w:type="pct"/>
            <w:vAlign w:val="center"/>
          </w:tcPr>
          <w:p w:rsidR="000F20C2" w:rsidRPr="004B4CA1" w:rsidRDefault="00EF064A" w:rsidP="00E279E7">
            <w:pPr>
              <w:jc w:val="center"/>
              <w:rPr>
                <w:rFonts w:cs="Arial"/>
                <w:sz w:val="18"/>
              </w:rPr>
            </w:pPr>
            <w:r>
              <w:rPr>
                <w:sz w:val="18"/>
              </w:rPr>
              <w:t>100</w:t>
            </w:r>
          </w:p>
        </w:tc>
        <w:tc>
          <w:tcPr>
            <w:tcW w:w="1189" w:type="pct"/>
            <w:vAlign w:val="center"/>
          </w:tcPr>
          <w:p w:rsidR="000F20C2" w:rsidRPr="004B4CA1" w:rsidRDefault="00EF064A" w:rsidP="00E279E7">
            <w:pPr>
              <w:jc w:val="center"/>
              <w:rPr>
                <w:rFonts w:cs="Arial"/>
                <w:sz w:val="18"/>
              </w:rPr>
            </w:pPr>
            <w:r>
              <w:rPr>
                <w:sz w:val="18"/>
              </w:rPr>
              <w:t>full</w:t>
            </w:r>
          </w:p>
        </w:tc>
      </w:tr>
      <w:tr w:rsidR="007A73DC" w:rsidRPr="004B4CA1" w:rsidTr="00E279E7">
        <w:trPr>
          <w:trHeight w:val="486"/>
          <w:tblCellSpacing w:w="20" w:type="dxa"/>
        </w:trPr>
        <w:tc>
          <w:tcPr>
            <w:tcW w:w="1464" w:type="pct"/>
            <w:vAlign w:val="center"/>
          </w:tcPr>
          <w:p w:rsidR="007A73DC" w:rsidRPr="00D12632" w:rsidRDefault="007A73DC" w:rsidP="00E279E7">
            <w:pPr>
              <w:rPr>
                <w:rFonts w:cs="Arial"/>
                <w:sz w:val="18"/>
                <w:szCs w:val="18"/>
              </w:rPr>
            </w:pPr>
            <w:r>
              <w:rPr>
                <w:sz w:val="18"/>
              </w:rPr>
              <w:t>CCC Obutev d o.o.</w:t>
            </w:r>
          </w:p>
        </w:tc>
        <w:tc>
          <w:tcPr>
            <w:tcW w:w="1120" w:type="pct"/>
            <w:vAlign w:val="center"/>
          </w:tcPr>
          <w:p w:rsidR="007A73DC" w:rsidRPr="004B4CA1" w:rsidRDefault="007A73DC" w:rsidP="00E279E7">
            <w:pPr>
              <w:jc w:val="center"/>
              <w:rPr>
                <w:rFonts w:cs="Arial"/>
                <w:sz w:val="18"/>
                <w:szCs w:val="18"/>
              </w:rPr>
            </w:pPr>
            <w:r>
              <w:rPr>
                <w:sz w:val="18"/>
              </w:rPr>
              <w:t>Maribor, Slovenia</w:t>
            </w:r>
          </w:p>
        </w:tc>
        <w:tc>
          <w:tcPr>
            <w:tcW w:w="1119" w:type="pct"/>
            <w:vAlign w:val="center"/>
          </w:tcPr>
          <w:p w:rsidR="007A73DC" w:rsidRPr="004B4CA1" w:rsidRDefault="007A73DC" w:rsidP="00E279E7">
            <w:pPr>
              <w:jc w:val="center"/>
              <w:rPr>
                <w:rFonts w:cs="Arial"/>
                <w:sz w:val="18"/>
              </w:rPr>
            </w:pPr>
            <w:r>
              <w:rPr>
                <w:sz w:val="18"/>
              </w:rPr>
              <w:t>100</w:t>
            </w:r>
          </w:p>
        </w:tc>
        <w:tc>
          <w:tcPr>
            <w:tcW w:w="1189" w:type="pct"/>
            <w:vAlign w:val="center"/>
          </w:tcPr>
          <w:p w:rsidR="007A73DC" w:rsidRPr="004B4CA1" w:rsidRDefault="007A73DC" w:rsidP="00E279E7">
            <w:pPr>
              <w:jc w:val="center"/>
              <w:rPr>
                <w:rFonts w:cs="Arial"/>
                <w:sz w:val="18"/>
              </w:rPr>
            </w:pPr>
            <w:r>
              <w:rPr>
                <w:sz w:val="18"/>
              </w:rPr>
              <w:t>full</w:t>
            </w:r>
          </w:p>
        </w:tc>
      </w:tr>
      <w:tr w:rsidR="00211171" w:rsidRPr="00211171" w:rsidTr="00E279E7">
        <w:trPr>
          <w:trHeight w:val="486"/>
          <w:tblCellSpacing w:w="20" w:type="dxa"/>
        </w:trPr>
        <w:tc>
          <w:tcPr>
            <w:tcW w:w="1464" w:type="pct"/>
            <w:vAlign w:val="center"/>
          </w:tcPr>
          <w:p w:rsidR="00211171" w:rsidRPr="00211171" w:rsidRDefault="00211171" w:rsidP="00E279E7">
            <w:pPr>
              <w:rPr>
                <w:sz w:val="18"/>
                <w:lang w:val="pl-PL"/>
              </w:rPr>
            </w:pPr>
            <w:r w:rsidRPr="00211171">
              <w:rPr>
                <w:sz w:val="18"/>
                <w:lang w:val="pl-PL"/>
              </w:rPr>
              <w:t xml:space="preserve">CCC </w:t>
            </w:r>
            <w:proofErr w:type="spellStart"/>
            <w:r w:rsidRPr="00211171">
              <w:rPr>
                <w:sz w:val="18"/>
                <w:lang w:val="pl-PL"/>
              </w:rPr>
              <w:t>Hrvatska</w:t>
            </w:r>
            <w:proofErr w:type="spellEnd"/>
            <w:r w:rsidRPr="00211171">
              <w:rPr>
                <w:sz w:val="18"/>
                <w:lang w:val="pl-PL"/>
              </w:rPr>
              <w:t xml:space="preserve"> d o.o</w:t>
            </w:r>
            <w:r>
              <w:rPr>
                <w:sz w:val="18"/>
                <w:lang w:val="pl-PL"/>
              </w:rPr>
              <w:t>.</w:t>
            </w:r>
          </w:p>
        </w:tc>
        <w:tc>
          <w:tcPr>
            <w:tcW w:w="1120" w:type="pct"/>
            <w:vAlign w:val="center"/>
          </w:tcPr>
          <w:p w:rsidR="00211171" w:rsidRPr="00211171" w:rsidRDefault="00F64B34" w:rsidP="00E279E7">
            <w:pPr>
              <w:jc w:val="center"/>
              <w:rPr>
                <w:sz w:val="18"/>
                <w:lang w:val="pl-PL"/>
              </w:rPr>
            </w:pPr>
            <w:proofErr w:type="spellStart"/>
            <w:r>
              <w:rPr>
                <w:sz w:val="18"/>
                <w:lang w:val="pl-PL"/>
              </w:rPr>
              <w:t>Zagreb</w:t>
            </w:r>
            <w:proofErr w:type="spellEnd"/>
            <w:r>
              <w:rPr>
                <w:sz w:val="18"/>
                <w:lang w:val="pl-PL"/>
              </w:rPr>
              <w:t xml:space="preserve">, </w:t>
            </w:r>
            <w:proofErr w:type="spellStart"/>
            <w:r>
              <w:rPr>
                <w:sz w:val="18"/>
                <w:lang w:val="pl-PL"/>
              </w:rPr>
              <w:t>Croatia</w:t>
            </w:r>
            <w:proofErr w:type="spellEnd"/>
            <w:r>
              <w:rPr>
                <w:sz w:val="18"/>
                <w:lang w:val="pl-PL"/>
              </w:rPr>
              <w:t xml:space="preserve"> </w:t>
            </w:r>
          </w:p>
        </w:tc>
        <w:tc>
          <w:tcPr>
            <w:tcW w:w="1119" w:type="pct"/>
            <w:vAlign w:val="center"/>
          </w:tcPr>
          <w:p w:rsidR="00211171" w:rsidRPr="00211171" w:rsidRDefault="00F64B34" w:rsidP="00E279E7">
            <w:pPr>
              <w:jc w:val="center"/>
              <w:rPr>
                <w:sz w:val="18"/>
                <w:lang w:val="pl-PL"/>
              </w:rPr>
            </w:pPr>
            <w:r>
              <w:rPr>
                <w:sz w:val="18"/>
                <w:lang w:val="pl-PL"/>
              </w:rPr>
              <w:t>100</w:t>
            </w:r>
          </w:p>
        </w:tc>
        <w:tc>
          <w:tcPr>
            <w:tcW w:w="1189" w:type="pct"/>
            <w:vAlign w:val="center"/>
          </w:tcPr>
          <w:p w:rsidR="00211171" w:rsidRPr="00211171" w:rsidRDefault="00F64B34" w:rsidP="00E279E7">
            <w:pPr>
              <w:jc w:val="center"/>
              <w:rPr>
                <w:sz w:val="18"/>
                <w:lang w:val="pl-PL"/>
              </w:rPr>
            </w:pPr>
            <w:proofErr w:type="spellStart"/>
            <w:r>
              <w:rPr>
                <w:sz w:val="18"/>
                <w:lang w:val="pl-PL"/>
              </w:rPr>
              <w:t>full</w:t>
            </w:r>
            <w:proofErr w:type="spellEnd"/>
          </w:p>
        </w:tc>
      </w:tr>
      <w:tr w:rsidR="000C3AD0" w:rsidRPr="004B4CA1" w:rsidTr="00E279E7">
        <w:trPr>
          <w:trHeight w:val="486"/>
          <w:tblCellSpacing w:w="20" w:type="dxa"/>
        </w:trPr>
        <w:tc>
          <w:tcPr>
            <w:tcW w:w="1464" w:type="pct"/>
            <w:vAlign w:val="center"/>
          </w:tcPr>
          <w:p w:rsidR="000C3AD0" w:rsidRPr="004B4CA1" w:rsidRDefault="000C3AD0" w:rsidP="00F64B34">
            <w:pPr>
              <w:rPr>
                <w:rFonts w:cs="Arial"/>
                <w:sz w:val="18"/>
                <w:szCs w:val="18"/>
              </w:rPr>
            </w:pPr>
            <w:r>
              <w:rPr>
                <w:sz w:val="18"/>
              </w:rPr>
              <w:t xml:space="preserve">CCC </w:t>
            </w:r>
            <w:r w:rsidR="00F64B34">
              <w:rPr>
                <w:sz w:val="18"/>
              </w:rPr>
              <w:t>Germany GmbH</w:t>
            </w:r>
          </w:p>
        </w:tc>
        <w:tc>
          <w:tcPr>
            <w:tcW w:w="1120" w:type="pct"/>
            <w:vAlign w:val="center"/>
          </w:tcPr>
          <w:p w:rsidR="000C3AD0" w:rsidRPr="004B4CA1" w:rsidRDefault="00F64B34" w:rsidP="00E279E7">
            <w:pPr>
              <w:jc w:val="center"/>
              <w:rPr>
                <w:rFonts w:cs="Arial"/>
                <w:sz w:val="18"/>
                <w:szCs w:val="18"/>
              </w:rPr>
            </w:pPr>
            <w:r w:rsidRPr="00F64B34">
              <w:rPr>
                <w:sz w:val="18"/>
              </w:rPr>
              <w:t>Frankfurt am Main</w:t>
            </w:r>
            <w:r w:rsidR="00236BAA">
              <w:rPr>
                <w:sz w:val="18"/>
              </w:rPr>
              <w:t>, Germany</w:t>
            </w:r>
          </w:p>
        </w:tc>
        <w:tc>
          <w:tcPr>
            <w:tcW w:w="1119" w:type="pct"/>
            <w:vAlign w:val="center"/>
          </w:tcPr>
          <w:p w:rsidR="000C3AD0" w:rsidRPr="004B4CA1" w:rsidRDefault="000C3AD0" w:rsidP="00E279E7">
            <w:pPr>
              <w:jc w:val="center"/>
              <w:rPr>
                <w:rFonts w:cs="Arial"/>
                <w:sz w:val="18"/>
              </w:rPr>
            </w:pPr>
            <w:r>
              <w:rPr>
                <w:sz w:val="18"/>
              </w:rPr>
              <w:t>100</w:t>
            </w:r>
          </w:p>
        </w:tc>
        <w:tc>
          <w:tcPr>
            <w:tcW w:w="1189" w:type="pct"/>
            <w:vAlign w:val="center"/>
          </w:tcPr>
          <w:p w:rsidR="000C3AD0" w:rsidRPr="004B4CA1" w:rsidRDefault="000C3AD0" w:rsidP="00E279E7">
            <w:pPr>
              <w:jc w:val="center"/>
              <w:rPr>
                <w:rFonts w:cs="Arial"/>
                <w:sz w:val="18"/>
              </w:rPr>
            </w:pPr>
            <w:r>
              <w:rPr>
                <w:sz w:val="18"/>
              </w:rPr>
              <w:t>full</w:t>
            </w:r>
          </w:p>
        </w:tc>
      </w:tr>
      <w:tr w:rsidR="00236BAA" w:rsidRPr="004B4CA1" w:rsidTr="00E279E7">
        <w:trPr>
          <w:trHeight w:val="486"/>
          <w:tblCellSpacing w:w="20" w:type="dxa"/>
        </w:trPr>
        <w:tc>
          <w:tcPr>
            <w:tcW w:w="1464" w:type="pct"/>
            <w:vAlign w:val="center"/>
          </w:tcPr>
          <w:p w:rsidR="00236BAA" w:rsidRDefault="00236BAA" w:rsidP="00F64B34">
            <w:pPr>
              <w:rPr>
                <w:sz w:val="18"/>
              </w:rPr>
            </w:pPr>
            <w:r>
              <w:rPr>
                <w:sz w:val="18"/>
              </w:rPr>
              <w:t>CCC Isle of Man Ltd.</w:t>
            </w:r>
          </w:p>
        </w:tc>
        <w:tc>
          <w:tcPr>
            <w:tcW w:w="1120" w:type="pct"/>
            <w:vAlign w:val="center"/>
          </w:tcPr>
          <w:p w:rsidR="00236BAA" w:rsidRPr="00F64B34" w:rsidRDefault="00236BAA" w:rsidP="00E279E7">
            <w:pPr>
              <w:jc w:val="center"/>
              <w:rPr>
                <w:sz w:val="18"/>
              </w:rPr>
            </w:pPr>
            <w:r>
              <w:rPr>
                <w:sz w:val="18"/>
              </w:rPr>
              <w:t>Isle of Man</w:t>
            </w:r>
          </w:p>
        </w:tc>
        <w:tc>
          <w:tcPr>
            <w:tcW w:w="1119" w:type="pct"/>
            <w:vAlign w:val="center"/>
          </w:tcPr>
          <w:p w:rsidR="00236BAA" w:rsidRDefault="00FC4EDE" w:rsidP="00E279E7">
            <w:pPr>
              <w:jc w:val="center"/>
              <w:rPr>
                <w:sz w:val="18"/>
              </w:rPr>
            </w:pPr>
            <w:r>
              <w:rPr>
                <w:sz w:val="18"/>
              </w:rPr>
              <w:t>100</w:t>
            </w:r>
          </w:p>
        </w:tc>
        <w:tc>
          <w:tcPr>
            <w:tcW w:w="1189" w:type="pct"/>
            <w:vAlign w:val="center"/>
          </w:tcPr>
          <w:p w:rsidR="00236BAA" w:rsidRDefault="00FC4EDE" w:rsidP="00E279E7">
            <w:pPr>
              <w:jc w:val="center"/>
              <w:rPr>
                <w:sz w:val="18"/>
              </w:rPr>
            </w:pPr>
            <w:r>
              <w:rPr>
                <w:sz w:val="18"/>
              </w:rPr>
              <w:t>full</w:t>
            </w:r>
          </w:p>
        </w:tc>
      </w:tr>
      <w:tr w:rsidR="00FC4EDE" w:rsidRPr="00FC4EDE" w:rsidTr="00E279E7">
        <w:trPr>
          <w:trHeight w:val="486"/>
          <w:tblCellSpacing w:w="20" w:type="dxa"/>
        </w:trPr>
        <w:tc>
          <w:tcPr>
            <w:tcW w:w="1464" w:type="pct"/>
            <w:vAlign w:val="center"/>
          </w:tcPr>
          <w:p w:rsidR="00FC4EDE" w:rsidRPr="00FC4EDE" w:rsidRDefault="00FC4EDE" w:rsidP="00F64B34">
            <w:pPr>
              <w:rPr>
                <w:sz w:val="18"/>
                <w:lang w:val="pl-PL"/>
              </w:rPr>
            </w:pPr>
            <w:r w:rsidRPr="00FC4EDE">
              <w:rPr>
                <w:sz w:val="18"/>
                <w:lang w:val="pl-PL"/>
              </w:rPr>
              <w:t xml:space="preserve">CCC.EU sp. </w:t>
            </w:r>
            <w:r>
              <w:rPr>
                <w:sz w:val="18"/>
                <w:lang w:val="pl-PL"/>
              </w:rPr>
              <w:t>z</w:t>
            </w:r>
            <w:r w:rsidRPr="00FC4EDE">
              <w:rPr>
                <w:sz w:val="18"/>
                <w:lang w:val="pl-PL"/>
              </w:rPr>
              <w:t xml:space="preserve"> o.o</w:t>
            </w:r>
            <w:r>
              <w:rPr>
                <w:sz w:val="18"/>
                <w:lang w:val="pl-PL"/>
              </w:rPr>
              <w:t>.</w:t>
            </w:r>
          </w:p>
        </w:tc>
        <w:tc>
          <w:tcPr>
            <w:tcW w:w="1120" w:type="pct"/>
            <w:vAlign w:val="center"/>
          </w:tcPr>
          <w:p w:rsidR="00FC4EDE" w:rsidRPr="00FC4EDE" w:rsidRDefault="00FC4EDE" w:rsidP="00E279E7">
            <w:pPr>
              <w:jc w:val="center"/>
              <w:rPr>
                <w:sz w:val="18"/>
                <w:lang w:val="pl-PL"/>
              </w:rPr>
            </w:pPr>
            <w:r>
              <w:rPr>
                <w:sz w:val="18"/>
                <w:lang w:val="pl-PL"/>
              </w:rPr>
              <w:t>Polkowice, Poland</w:t>
            </w:r>
          </w:p>
        </w:tc>
        <w:tc>
          <w:tcPr>
            <w:tcW w:w="1119" w:type="pct"/>
            <w:vAlign w:val="center"/>
          </w:tcPr>
          <w:p w:rsidR="00FC4EDE" w:rsidRPr="00FC4EDE" w:rsidRDefault="00FC4EDE" w:rsidP="00E279E7">
            <w:pPr>
              <w:jc w:val="center"/>
              <w:rPr>
                <w:sz w:val="18"/>
                <w:lang w:val="pl-PL"/>
              </w:rPr>
            </w:pPr>
            <w:r>
              <w:rPr>
                <w:sz w:val="18"/>
                <w:lang w:val="pl-PL"/>
              </w:rPr>
              <w:t>100</w:t>
            </w:r>
          </w:p>
        </w:tc>
        <w:tc>
          <w:tcPr>
            <w:tcW w:w="1189" w:type="pct"/>
            <w:vAlign w:val="center"/>
          </w:tcPr>
          <w:p w:rsidR="00FC4EDE" w:rsidRPr="00FC4EDE" w:rsidRDefault="00FC4EDE" w:rsidP="00E279E7">
            <w:pPr>
              <w:jc w:val="center"/>
              <w:rPr>
                <w:sz w:val="18"/>
                <w:lang w:val="pl-PL"/>
              </w:rPr>
            </w:pPr>
            <w:proofErr w:type="spellStart"/>
            <w:r>
              <w:rPr>
                <w:sz w:val="18"/>
                <w:lang w:val="pl-PL"/>
              </w:rPr>
              <w:t>full</w:t>
            </w:r>
            <w:proofErr w:type="spellEnd"/>
          </w:p>
        </w:tc>
      </w:tr>
      <w:tr w:rsidR="00FC4EDE" w:rsidRPr="00FC4EDE" w:rsidTr="00E279E7">
        <w:trPr>
          <w:trHeight w:val="486"/>
          <w:tblCellSpacing w:w="20" w:type="dxa"/>
        </w:trPr>
        <w:tc>
          <w:tcPr>
            <w:tcW w:w="1464" w:type="pct"/>
            <w:vAlign w:val="center"/>
          </w:tcPr>
          <w:p w:rsidR="00FC4EDE" w:rsidRPr="00FC4EDE" w:rsidRDefault="0057714C" w:rsidP="00F64B34">
            <w:pPr>
              <w:rPr>
                <w:sz w:val="18"/>
                <w:lang w:val="en-US"/>
              </w:rPr>
            </w:pPr>
            <w:r>
              <w:rPr>
                <w:sz w:val="18"/>
                <w:lang w:val="en-US"/>
              </w:rPr>
              <w:t>CCC Shoes &amp;</w:t>
            </w:r>
            <w:r w:rsidR="00FC4EDE" w:rsidRPr="00FC4EDE">
              <w:rPr>
                <w:sz w:val="18"/>
                <w:lang w:val="en-US"/>
              </w:rPr>
              <w:t xml:space="preserve"> Bags s</w:t>
            </w:r>
            <w:r w:rsidR="00FC4EDE">
              <w:rPr>
                <w:sz w:val="18"/>
                <w:lang w:val="en-US"/>
              </w:rPr>
              <w:t xml:space="preserve">p. z </w:t>
            </w:r>
            <w:proofErr w:type="spellStart"/>
            <w:r w:rsidR="00FC4EDE">
              <w:rPr>
                <w:sz w:val="18"/>
                <w:lang w:val="en-US"/>
              </w:rPr>
              <w:t>o.o</w:t>
            </w:r>
            <w:proofErr w:type="spellEnd"/>
            <w:r w:rsidR="00FC4EDE">
              <w:rPr>
                <w:sz w:val="18"/>
                <w:lang w:val="en-US"/>
              </w:rPr>
              <w:t>.</w:t>
            </w:r>
          </w:p>
        </w:tc>
        <w:tc>
          <w:tcPr>
            <w:tcW w:w="1120" w:type="pct"/>
            <w:vAlign w:val="center"/>
          </w:tcPr>
          <w:p w:rsidR="00FC4EDE" w:rsidRPr="00FC4EDE" w:rsidRDefault="00B26839" w:rsidP="00E279E7">
            <w:pPr>
              <w:jc w:val="center"/>
              <w:rPr>
                <w:sz w:val="18"/>
                <w:lang w:val="en-US"/>
              </w:rPr>
            </w:pPr>
            <w:proofErr w:type="spellStart"/>
            <w:r>
              <w:rPr>
                <w:sz w:val="18"/>
                <w:lang w:val="en-US"/>
              </w:rPr>
              <w:t>Polkowice</w:t>
            </w:r>
            <w:proofErr w:type="spellEnd"/>
            <w:r>
              <w:rPr>
                <w:sz w:val="18"/>
                <w:lang w:val="en-US"/>
              </w:rPr>
              <w:t>, Poland</w:t>
            </w:r>
          </w:p>
        </w:tc>
        <w:tc>
          <w:tcPr>
            <w:tcW w:w="1119" w:type="pct"/>
            <w:vAlign w:val="center"/>
          </w:tcPr>
          <w:p w:rsidR="00FC4EDE" w:rsidRPr="00FC4EDE" w:rsidRDefault="00B26839" w:rsidP="00E279E7">
            <w:pPr>
              <w:jc w:val="center"/>
              <w:rPr>
                <w:sz w:val="18"/>
                <w:lang w:val="en-US"/>
              </w:rPr>
            </w:pPr>
            <w:r>
              <w:rPr>
                <w:sz w:val="18"/>
                <w:lang w:val="en-US"/>
              </w:rPr>
              <w:t>100</w:t>
            </w:r>
          </w:p>
        </w:tc>
        <w:tc>
          <w:tcPr>
            <w:tcW w:w="1189" w:type="pct"/>
            <w:vAlign w:val="center"/>
          </w:tcPr>
          <w:p w:rsidR="00FC4EDE" w:rsidRPr="00FC4EDE" w:rsidRDefault="00B26839" w:rsidP="00E279E7">
            <w:pPr>
              <w:jc w:val="center"/>
              <w:rPr>
                <w:sz w:val="18"/>
                <w:lang w:val="en-US"/>
              </w:rPr>
            </w:pPr>
            <w:r>
              <w:rPr>
                <w:sz w:val="18"/>
                <w:lang w:val="en-US"/>
              </w:rPr>
              <w:t>full</w:t>
            </w:r>
          </w:p>
        </w:tc>
      </w:tr>
      <w:tr w:rsidR="000F20C2" w:rsidRPr="004B4CA1" w:rsidTr="00E279E7">
        <w:trPr>
          <w:trHeight w:val="486"/>
          <w:tblCellSpacing w:w="20" w:type="dxa"/>
        </w:trPr>
        <w:tc>
          <w:tcPr>
            <w:tcW w:w="1464" w:type="pct"/>
            <w:vAlign w:val="center"/>
          </w:tcPr>
          <w:p w:rsidR="000F20C2" w:rsidRPr="00D12632" w:rsidRDefault="000F20C2" w:rsidP="00E279E7">
            <w:pPr>
              <w:rPr>
                <w:rFonts w:cs="Arial"/>
                <w:sz w:val="18"/>
                <w:szCs w:val="18"/>
              </w:rPr>
            </w:pPr>
            <w:r>
              <w:rPr>
                <w:sz w:val="18"/>
              </w:rPr>
              <w:t xml:space="preserve">NG2 Suisse </w:t>
            </w:r>
            <w:proofErr w:type="spellStart"/>
            <w:r>
              <w:rPr>
                <w:sz w:val="18"/>
              </w:rPr>
              <w:t>S.a.r.l</w:t>
            </w:r>
            <w:proofErr w:type="spellEnd"/>
          </w:p>
        </w:tc>
        <w:tc>
          <w:tcPr>
            <w:tcW w:w="1120" w:type="pct"/>
            <w:vAlign w:val="center"/>
          </w:tcPr>
          <w:p w:rsidR="000F20C2" w:rsidRPr="004B4CA1" w:rsidRDefault="000F20C2" w:rsidP="00E279E7">
            <w:pPr>
              <w:jc w:val="center"/>
              <w:rPr>
                <w:rFonts w:cs="Arial"/>
                <w:sz w:val="18"/>
                <w:szCs w:val="18"/>
              </w:rPr>
            </w:pPr>
            <w:r>
              <w:rPr>
                <w:sz w:val="18"/>
              </w:rPr>
              <w:t>Zug, Switzerland</w:t>
            </w:r>
          </w:p>
        </w:tc>
        <w:tc>
          <w:tcPr>
            <w:tcW w:w="1119" w:type="pct"/>
            <w:vAlign w:val="center"/>
          </w:tcPr>
          <w:p w:rsidR="000F20C2" w:rsidRPr="004B4CA1" w:rsidRDefault="000F20C2" w:rsidP="00E279E7">
            <w:pPr>
              <w:jc w:val="center"/>
              <w:rPr>
                <w:rFonts w:cs="Arial"/>
                <w:sz w:val="18"/>
              </w:rPr>
            </w:pPr>
            <w:r>
              <w:rPr>
                <w:sz w:val="18"/>
              </w:rPr>
              <w:t>100</w:t>
            </w:r>
          </w:p>
        </w:tc>
        <w:tc>
          <w:tcPr>
            <w:tcW w:w="1189" w:type="pct"/>
            <w:vAlign w:val="center"/>
          </w:tcPr>
          <w:p w:rsidR="000F20C2" w:rsidRPr="004B4CA1" w:rsidRDefault="000F20C2" w:rsidP="00E279E7">
            <w:pPr>
              <w:jc w:val="center"/>
              <w:rPr>
                <w:rFonts w:cs="Arial"/>
                <w:sz w:val="18"/>
              </w:rPr>
            </w:pPr>
            <w:r>
              <w:rPr>
                <w:sz w:val="18"/>
              </w:rPr>
              <w:t>full</w:t>
            </w:r>
          </w:p>
        </w:tc>
      </w:tr>
      <w:tr w:rsidR="000F20C2" w:rsidRPr="004B4CA1" w:rsidTr="00E279E7">
        <w:trPr>
          <w:trHeight w:val="486"/>
          <w:tblCellSpacing w:w="20" w:type="dxa"/>
        </w:trPr>
        <w:tc>
          <w:tcPr>
            <w:tcW w:w="1464" w:type="pct"/>
            <w:tcBorders>
              <w:top w:val="outset" w:sz="6" w:space="0" w:color="auto"/>
              <w:left w:val="outset" w:sz="6" w:space="0" w:color="auto"/>
              <w:bottom w:val="outset" w:sz="6" w:space="0" w:color="auto"/>
              <w:right w:val="outset" w:sz="6" w:space="0" w:color="auto"/>
            </w:tcBorders>
            <w:vAlign w:val="center"/>
          </w:tcPr>
          <w:p w:rsidR="000F20C2" w:rsidRPr="00CA03EC" w:rsidRDefault="000F20C2" w:rsidP="00B26839">
            <w:pPr>
              <w:rPr>
                <w:rFonts w:cs="Arial"/>
                <w:sz w:val="18"/>
                <w:szCs w:val="18"/>
                <w:lang w:val="pl-PL"/>
              </w:rPr>
            </w:pPr>
            <w:r w:rsidRPr="00CA03EC">
              <w:rPr>
                <w:sz w:val="18"/>
                <w:lang w:val="pl-PL"/>
              </w:rPr>
              <w:t xml:space="preserve">Continental Trust Fund No. 968 </w:t>
            </w:r>
          </w:p>
        </w:tc>
        <w:tc>
          <w:tcPr>
            <w:tcW w:w="1120" w:type="pct"/>
            <w:tcBorders>
              <w:top w:val="outset" w:sz="6" w:space="0" w:color="auto"/>
              <w:left w:val="outset" w:sz="6" w:space="0" w:color="auto"/>
              <w:bottom w:val="outset" w:sz="6" w:space="0" w:color="auto"/>
              <w:right w:val="outset" w:sz="6" w:space="0" w:color="auto"/>
            </w:tcBorders>
            <w:vAlign w:val="center"/>
          </w:tcPr>
          <w:p w:rsidR="000F20C2" w:rsidRPr="004B4CA1" w:rsidRDefault="000F20C2" w:rsidP="00E279E7">
            <w:pPr>
              <w:jc w:val="center"/>
              <w:rPr>
                <w:rFonts w:cs="Arial"/>
                <w:sz w:val="18"/>
                <w:szCs w:val="18"/>
              </w:rPr>
            </w:pPr>
            <w:r>
              <w:rPr>
                <w:sz w:val="18"/>
              </w:rPr>
              <w:t>USA</w:t>
            </w:r>
          </w:p>
        </w:tc>
        <w:tc>
          <w:tcPr>
            <w:tcW w:w="1119" w:type="pct"/>
            <w:tcBorders>
              <w:top w:val="outset" w:sz="6" w:space="0" w:color="auto"/>
              <w:left w:val="outset" w:sz="6" w:space="0" w:color="auto"/>
              <w:bottom w:val="outset" w:sz="6" w:space="0" w:color="auto"/>
              <w:right w:val="outset" w:sz="6" w:space="0" w:color="auto"/>
            </w:tcBorders>
            <w:vAlign w:val="center"/>
          </w:tcPr>
          <w:p w:rsidR="000F20C2" w:rsidRPr="004B4CA1" w:rsidRDefault="000F20C2" w:rsidP="00E279E7">
            <w:pPr>
              <w:jc w:val="center"/>
              <w:rPr>
                <w:rFonts w:cs="Arial"/>
                <w:sz w:val="18"/>
              </w:rPr>
            </w:pPr>
            <w:r>
              <w:rPr>
                <w:sz w:val="18"/>
              </w:rPr>
              <w:t>100</w:t>
            </w:r>
          </w:p>
        </w:tc>
        <w:tc>
          <w:tcPr>
            <w:tcW w:w="1189" w:type="pct"/>
            <w:tcBorders>
              <w:top w:val="outset" w:sz="6" w:space="0" w:color="auto"/>
              <w:left w:val="outset" w:sz="6" w:space="0" w:color="auto"/>
              <w:bottom w:val="outset" w:sz="6" w:space="0" w:color="auto"/>
              <w:right w:val="outset" w:sz="6" w:space="0" w:color="auto"/>
            </w:tcBorders>
            <w:vAlign w:val="center"/>
          </w:tcPr>
          <w:p w:rsidR="000F20C2" w:rsidRPr="004B4CA1" w:rsidRDefault="000F20C2" w:rsidP="00E279E7">
            <w:pPr>
              <w:jc w:val="center"/>
              <w:rPr>
                <w:rFonts w:cs="Arial"/>
                <w:sz w:val="18"/>
              </w:rPr>
            </w:pPr>
            <w:r>
              <w:rPr>
                <w:sz w:val="18"/>
              </w:rPr>
              <w:t>full</w:t>
            </w:r>
          </w:p>
        </w:tc>
      </w:tr>
    </w:tbl>
    <w:p w:rsidR="006E4264" w:rsidRPr="004B4CA1" w:rsidRDefault="006E4264"/>
    <w:p w:rsidR="006E4264" w:rsidRPr="004B4CA1" w:rsidRDefault="006E4264">
      <w:pPr>
        <w:spacing w:after="200" w:line="276" w:lineRule="auto"/>
      </w:pPr>
      <w:r>
        <w:br w:type="page"/>
      </w:r>
    </w:p>
    <w:p w:rsidR="00E279E7" w:rsidRPr="004B4CA1" w:rsidRDefault="00E279E7" w:rsidP="00275A91">
      <w:pPr>
        <w:pStyle w:val="Nagwek1"/>
      </w:pPr>
      <w:bookmarkStart w:id="2" w:name="_Toc325723759"/>
      <w:bookmarkStart w:id="3" w:name="_Toc366511802"/>
      <w:r>
        <w:lastRenderedPageBreak/>
        <w:t>Information on markets and sources of supply.</w:t>
      </w:r>
      <w:bookmarkEnd w:id="2"/>
      <w:bookmarkEnd w:id="3"/>
    </w:p>
    <w:p w:rsidR="00E279E7" w:rsidRPr="004B4CA1" w:rsidRDefault="00E279E7" w:rsidP="006E4264">
      <w:pPr>
        <w:pStyle w:val="dAREK1"/>
        <w:spacing w:after="120"/>
      </w:pPr>
      <w:r>
        <w:t xml:space="preserve">In 1H </w:t>
      </w:r>
      <w:r w:rsidR="006426A9">
        <w:t>2014</w:t>
      </w:r>
      <w:r>
        <w:t xml:space="preserve">, the share of retail sales in total sales </w:t>
      </w:r>
      <w:r w:rsidR="00295DBB">
        <w:rPr>
          <w:color w:val="000000"/>
        </w:rPr>
        <w:t>amounted to 95.9</w:t>
      </w:r>
      <w:r>
        <w:rPr>
          <w:color w:val="000000"/>
        </w:rPr>
        <w:t>% (9</w:t>
      </w:r>
      <w:r w:rsidR="00295DBB">
        <w:rPr>
          <w:color w:val="000000"/>
        </w:rPr>
        <w:t>5.0</w:t>
      </w:r>
      <w:r>
        <w:t xml:space="preserve">% in 1H </w:t>
      </w:r>
      <w:r w:rsidR="00B26839">
        <w:t>2013</w:t>
      </w:r>
      <w:r>
        <w:t>). The development of own retail outlets is an important factor in improving the profitability of business activities due to obtaining a higher m</w:t>
      </w:r>
      <w:r w:rsidR="00295DBB">
        <w:t xml:space="preserve">argin from retail sales. In </w:t>
      </w:r>
      <w:r>
        <w:t xml:space="preserve">case of franchise stores, the dominant </w:t>
      </w:r>
      <w:r w:rsidR="00E03395">
        <w:t>entity</w:t>
      </w:r>
      <w:r>
        <w:t xml:space="preserve"> applies a lower wholesale margin. The sales structure of the </w:t>
      </w:r>
      <w:r w:rsidR="00E03395">
        <w:t xml:space="preserve">Capital Group </w:t>
      </w:r>
      <w:r>
        <w:t xml:space="preserve">CCC S.A. </w:t>
      </w:r>
      <w:r w:rsidR="00295DBB">
        <w:t>has been presented in t</w:t>
      </w:r>
      <w:r>
        <w:t>able 2.</w:t>
      </w:r>
    </w:p>
    <w:p w:rsidR="00E279E7" w:rsidRPr="004B4CA1" w:rsidRDefault="00E279E7" w:rsidP="00E279E7">
      <w:pPr>
        <w:pStyle w:val="Legenda"/>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2</w:t>
      </w:r>
      <w:r w:rsidR="000418D6" w:rsidRPr="004B4CA1">
        <w:rPr>
          <w:noProof/>
        </w:rPr>
        <w:fldChar w:fldCharType="end"/>
      </w:r>
      <w:r>
        <w:t xml:space="preserve">. Sales structure of the </w:t>
      </w:r>
      <w:r w:rsidR="00E03395">
        <w:t xml:space="preserve">Capital Group </w:t>
      </w:r>
      <w:r>
        <w:t>CCC S.A. by distribution channels</w:t>
      </w:r>
    </w:p>
    <w:tbl>
      <w:tblPr>
        <w:tblW w:w="4933" w:type="pct"/>
        <w:jc w:val="center"/>
        <w:tblCellSpacing w:w="20" w:type="dxa"/>
        <w:tblInd w:w="1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2413"/>
        <w:gridCol w:w="1782"/>
        <w:gridCol w:w="1849"/>
        <w:gridCol w:w="1662"/>
        <w:gridCol w:w="1771"/>
      </w:tblGrid>
      <w:tr w:rsidR="00E279E7" w:rsidRPr="004B4CA1" w:rsidTr="00B53A25">
        <w:trPr>
          <w:cantSplit/>
          <w:tblCellSpacing w:w="20" w:type="dxa"/>
          <w:jc w:val="center"/>
        </w:trPr>
        <w:tc>
          <w:tcPr>
            <w:tcW w:w="1251" w:type="pct"/>
            <w:vMerge w:val="restart"/>
            <w:shd w:val="clear" w:color="auto" w:fill="D9D9D9" w:themeFill="background1" w:themeFillShade="D9"/>
            <w:vAlign w:val="center"/>
          </w:tcPr>
          <w:p w:rsidR="00E279E7" w:rsidRPr="004B4CA1" w:rsidRDefault="00E279E7" w:rsidP="00E279E7">
            <w:pPr>
              <w:keepNext/>
              <w:keepLines/>
              <w:autoSpaceDE w:val="0"/>
              <w:autoSpaceDN w:val="0"/>
              <w:adjustRightInd w:val="0"/>
              <w:jc w:val="center"/>
              <w:rPr>
                <w:rFonts w:cs="Arial"/>
                <w:b/>
                <w:bCs/>
                <w:sz w:val="18"/>
                <w:szCs w:val="20"/>
              </w:rPr>
            </w:pPr>
            <w:r>
              <w:rPr>
                <w:b/>
                <w:sz w:val="18"/>
              </w:rPr>
              <w:t>CATEGORY</w:t>
            </w:r>
          </w:p>
        </w:tc>
        <w:tc>
          <w:tcPr>
            <w:tcW w:w="1889" w:type="pct"/>
            <w:gridSpan w:val="2"/>
            <w:shd w:val="clear" w:color="auto" w:fill="D9D9D9" w:themeFill="background1" w:themeFillShade="D9"/>
          </w:tcPr>
          <w:p w:rsidR="00E279E7" w:rsidRPr="004B4CA1" w:rsidRDefault="00E279E7" w:rsidP="00EF064A">
            <w:pPr>
              <w:keepLines/>
              <w:autoSpaceDE w:val="0"/>
              <w:autoSpaceDN w:val="0"/>
              <w:adjustRightInd w:val="0"/>
              <w:jc w:val="center"/>
              <w:rPr>
                <w:rFonts w:cs="Arial"/>
                <w:b/>
                <w:bCs/>
                <w:sz w:val="18"/>
                <w:szCs w:val="20"/>
              </w:rPr>
            </w:pPr>
            <w:r>
              <w:rPr>
                <w:b/>
                <w:sz w:val="18"/>
              </w:rPr>
              <w:t xml:space="preserve">1H </w:t>
            </w:r>
            <w:r w:rsidR="006426A9">
              <w:rPr>
                <w:b/>
                <w:sz w:val="18"/>
              </w:rPr>
              <w:t>2014</w:t>
            </w:r>
          </w:p>
        </w:tc>
        <w:tc>
          <w:tcPr>
            <w:tcW w:w="1773" w:type="pct"/>
            <w:gridSpan w:val="2"/>
            <w:shd w:val="clear" w:color="auto" w:fill="D9D9D9" w:themeFill="background1" w:themeFillShade="D9"/>
          </w:tcPr>
          <w:p w:rsidR="00E279E7" w:rsidRPr="004B4CA1" w:rsidRDefault="00C961DC" w:rsidP="00EF064A">
            <w:pPr>
              <w:keepLines/>
              <w:autoSpaceDE w:val="0"/>
              <w:autoSpaceDN w:val="0"/>
              <w:adjustRightInd w:val="0"/>
              <w:jc w:val="center"/>
              <w:rPr>
                <w:rFonts w:cs="Arial"/>
                <w:b/>
                <w:bCs/>
                <w:sz w:val="18"/>
                <w:szCs w:val="20"/>
              </w:rPr>
            </w:pPr>
            <w:r>
              <w:rPr>
                <w:b/>
                <w:sz w:val="18"/>
              </w:rPr>
              <w:t xml:space="preserve">1H </w:t>
            </w:r>
            <w:r w:rsidR="00B26839">
              <w:rPr>
                <w:b/>
                <w:sz w:val="18"/>
              </w:rPr>
              <w:t>2013</w:t>
            </w:r>
          </w:p>
        </w:tc>
      </w:tr>
      <w:tr w:rsidR="00E279E7" w:rsidRPr="004B4CA1" w:rsidTr="00B53A25">
        <w:trPr>
          <w:cantSplit/>
          <w:tblCellSpacing w:w="20" w:type="dxa"/>
          <w:jc w:val="center"/>
        </w:trPr>
        <w:tc>
          <w:tcPr>
            <w:tcW w:w="1251" w:type="pct"/>
            <w:vMerge/>
            <w:shd w:val="clear" w:color="auto" w:fill="D9D9D9" w:themeFill="background1" w:themeFillShade="D9"/>
            <w:vAlign w:val="center"/>
          </w:tcPr>
          <w:p w:rsidR="00E279E7" w:rsidRPr="004B4CA1" w:rsidRDefault="00E279E7" w:rsidP="00E279E7">
            <w:pPr>
              <w:keepNext/>
              <w:keepLines/>
              <w:autoSpaceDE w:val="0"/>
              <w:autoSpaceDN w:val="0"/>
              <w:adjustRightInd w:val="0"/>
              <w:jc w:val="center"/>
              <w:rPr>
                <w:rFonts w:cs="Arial"/>
                <w:b/>
                <w:bCs/>
                <w:sz w:val="18"/>
                <w:szCs w:val="20"/>
              </w:rPr>
            </w:pPr>
          </w:p>
        </w:tc>
        <w:tc>
          <w:tcPr>
            <w:tcW w:w="927" w:type="pct"/>
            <w:shd w:val="clear" w:color="auto" w:fill="D9D9D9" w:themeFill="background1" w:themeFillShade="D9"/>
            <w:vAlign w:val="center"/>
          </w:tcPr>
          <w:p w:rsidR="00E279E7" w:rsidRPr="004B4CA1" w:rsidRDefault="006712FF" w:rsidP="006712FF">
            <w:pPr>
              <w:keepNext/>
              <w:keepLines/>
              <w:autoSpaceDE w:val="0"/>
              <w:autoSpaceDN w:val="0"/>
              <w:adjustRightInd w:val="0"/>
              <w:jc w:val="center"/>
              <w:rPr>
                <w:rFonts w:cs="Arial"/>
                <w:sz w:val="18"/>
                <w:szCs w:val="20"/>
              </w:rPr>
            </w:pPr>
            <w:r>
              <w:rPr>
                <w:sz w:val="18"/>
              </w:rPr>
              <w:t xml:space="preserve">thousand </w:t>
            </w:r>
            <w:r w:rsidR="00E279E7">
              <w:rPr>
                <w:sz w:val="18"/>
              </w:rPr>
              <w:t xml:space="preserve">PLN </w:t>
            </w:r>
          </w:p>
        </w:tc>
        <w:tc>
          <w:tcPr>
            <w:tcW w:w="941" w:type="pct"/>
            <w:shd w:val="clear" w:color="auto" w:fill="D9D9D9" w:themeFill="background1" w:themeFillShade="D9"/>
            <w:vAlign w:val="center"/>
          </w:tcPr>
          <w:p w:rsidR="00E279E7" w:rsidRPr="004B4CA1" w:rsidRDefault="00E279E7" w:rsidP="00E279E7">
            <w:pPr>
              <w:keepNext/>
              <w:keepLines/>
              <w:autoSpaceDE w:val="0"/>
              <w:autoSpaceDN w:val="0"/>
              <w:adjustRightInd w:val="0"/>
              <w:jc w:val="center"/>
              <w:rPr>
                <w:rFonts w:cs="Arial"/>
                <w:sz w:val="18"/>
                <w:szCs w:val="20"/>
              </w:rPr>
            </w:pPr>
            <w:r>
              <w:rPr>
                <w:sz w:val="18"/>
              </w:rPr>
              <w:t>Percentage share</w:t>
            </w:r>
          </w:p>
        </w:tc>
        <w:tc>
          <w:tcPr>
            <w:tcW w:w="863" w:type="pct"/>
            <w:shd w:val="clear" w:color="auto" w:fill="D9D9D9" w:themeFill="background1" w:themeFillShade="D9"/>
            <w:vAlign w:val="center"/>
          </w:tcPr>
          <w:p w:rsidR="00E279E7" w:rsidRPr="004B4CA1" w:rsidRDefault="006712FF" w:rsidP="006712FF">
            <w:pPr>
              <w:keepNext/>
              <w:keepLines/>
              <w:autoSpaceDE w:val="0"/>
              <w:autoSpaceDN w:val="0"/>
              <w:adjustRightInd w:val="0"/>
              <w:jc w:val="center"/>
              <w:rPr>
                <w:rFonts w:cs="Arial"/>
                <w:sz w:val="18"/>
                <w:szCs w:val="20"/>
              </w:rPr>
            </w:pPr>
            <w:r>
              <w:rPr>
                <w:sz w:val="18"/>
              </w:rPr>
              <w:t xml:space="preserve">thousand </w:t>
            </w:r>
            <w:r w:rsidR="00E279E7">
              <w:rPr>
                <w:sz w:val="18"/>
              </w:rPr>
              <w:t xml:space="preserve">PLN </w:t>
            </w:r>
          </w:p>
        </w:tc>
        <w:tc>
          <w:tcPr>
            <w:tcW w:w="888" w:type="pct"/>
            <w:shd w:val="clear" w:color="auto" w:fill="D9D9D9" w:themeFill="background1" w:themeFillShade="D9"/>
            <w:vAlign w:val="center"/>
          </w:tcPr>
          <w:p w:rsidR="00E279E7" w:rsidRPr="004B4CA1" w:rsidRDefault="00E279E7" w:rsidP="00E279E7">
            <w:pPr>
              <w:keepNext/>
              <w:keepLines/>
              <w:autoSpaceDE w:val="0"/>
              <w:autoSpaceDN w:val="0"/>
              <w:adjustRightInd w:val="0"/>
              <w:jc w:val="center"/>
              <w:rPr>
                <w:rFonts w:cs="Arial"/>
                <w:sz w:val="18"/>
                <w:szCs w:val="20"/>
              </w:rPr>
            </w:pPr>
            <w:r>
              <w:rPr>
                <w:sz w:val="18"/>
              </w:rPr>
              <w:t>Percentage share</w:t>
            </w:r>
          </w:p>
        </w:tc>
      </w:tr>
      <w:tr w:rsidR="00EF064A" w:rsidRPr="004B4CA1" w:rsidTr="00EF064A">
        <w:trPr>
          <w:cantSplit/>
          <w:trHeight w:hRule="exact" w:val="284"/>
          <w:tblCellSpacing w:w="20" w:type="dxa"/>
          <w:jc w:val="center"/>
        </w:trPr>
        <w:tc>
          <w:tcPr>
            <w:tcW w:w="1251" w:type="pct"/>
            <w:vAlign w:val="center"/>
          </w:tcPr>
          <w:p w:rsidR="00EF064A" w:rsidRPr="004B4CA1" w:rsidRDefault="00EF064A" w:rsidP="00E279E7">
            <w:pPr>
              <w:keepNext/>
              <w:keepLines/>
              <w:autoSpaceDE w:val="0"/>
              <w:autoSpaceDN w:val="0"/>
              <w:adjustRightInd w:val="0"/>
              <w:rPr>
                <w:rFonts w:cs="Arial"/>
                <w:sz w:val="18"/>
                <w:szCs w:val="18"/>
              </w:rPr>
            </w:pPr>
            <w:r>
              <w:rPr>
                <w:sz w:val="18"/>
              </w:rPr>
              <w:t xml:space="preserve">Retail sales </w:t>
            </w:r>
          </w:p>
        </w:tc>
        <w:tc>
          <w:tcPr>
            <w:tcW w:w="927" w:type="pct"/>
            <w:vAlign w:val="center"/>
          </w:tcPr>
          <w:p w:rsidR="00EF064A" w:rsidRPr="004B4CA1" w:rsidRDefault="00E03395" w:rsidP="001C4C94">
            <w:pPr>
              <w:jc w:val="right"/>
              <w:rPr>
                <w:rFonts w:cs="Arial"/>
                <w:color w:val="000000"/>
                <w:sz w:val="18"/>
                <w:szCs w:val="18"/>
              </w:rPr>
            </w:pPr>
            <w:r>
              <w:rPr>
                <w:color w:val="000000"/>
                <w:sz w:val="18"/>
              </w:rPr>
              <w:t>820,672</w:t>
            </w:r>
          </w:p>
        </w:tc>
        <w:tc>
          <w:tcPr>
            <w:tcW w:w="941" w:type="pct"/>
            <w:vAlign w:val="center"/>
          </w:tcPr>
          <w:p w:rsidR="00EF064A" w:rsidRPr="004B4CA1" w:rsidRDefault="004B6E85" w:rsidP="00B37411">
            <w:pPr>
              <w:keepNext/>
              <w:keepLines/>
              <w:autoSpaceDE w:val="0"/>
              <w:autoSpaceDN w:val="0"/>
              <w:adjustRightInd w:val="0"/>
              <w:jc w:val="right"/>
              <w:rPr>
                <w:rFonts w:cs="Arial"/>
                <w:sz w:val="18"/>
                <w:szCs w:val="18"/>
              </w:rPr>
            </w:pPr>
            <w:r>
              <w:rPr>
                <w:sz w:val="18"/>
              </w:rPr>
              <w:t>95.</w:t>
            </w:r>
            <w:r w:rsidR="006712FF">
              <w:rPr>
                <w:sz w:val="18"/>
              </w:rPr>
              <w:t>9</w:t>
            </w:r>
          </w:p>
        </w:tc>
        <w:tc>
          <w:tcPr>
            <w:tcW w:w="863" w:type="pct"/>
            <w:vAlign w:val="center"/>
          </w:tcPr>
          <w:p w:rsidR="00EF064A" w:rsidRPr="004B4CA1" w:rsidRDefault="006712FF" w:rsidP="006E4264">
            <w:pPr>
              <w:jc w:val="right"/>
              <w:rPr>
                <w:rFonts w:cs="Arial"/>
                <w:color w:val="000000"/>
                <w:sz w:val="18"/>
                <w:szCs w:val="18"/>
              </w:rPr>
            </w:pPr>
            <w:r>
              <w:rPr>
                <w:color w:val="000000"/>
                <w:sz w:val="18"/>
              </w:rPr>
              <w:t>611,412</w:t>
            </w:r>
          </w:p>
        </w:tc>
        <w:tc>
          <w:tcPr>
            <w:tcW w:w="888" w:type="pct"/>
            <w:vAlign w:val="center"/>
          </w:tcPr>
          <w:p w:rsidR="00EF064A" w:rsidRPr="004B4CA1" w:rsidRDefault="006712FF" w:rsidP="006E4264">
            <w:pPr>
              <w:keepNext/>
              <w:keepLines/>
              <w:autoSpaceDE w:val="0"/>
              <w:autoSpaceDN w:val="0"/>
              <w:adjustRightInd w:val="0"/>
              <w:jc w:val="right"/>
              <w:rPr>
                <w:rFonts w:cs="Arial"/>
                <w:sz w:val="18"/>
                <w:szCs w:val="18"/>
              </w:rPr>
            </w:pPr>
            <w:r>
              <w:rPr>
                <w:sz w:val="18"/>
              </w:rPr>
              <w:t>95.0</w:t>
            </w:r>
          </w:p>
        </w:tc>
      </w:tr>
      <w:tr w:rsidR="00EF064A" w:rsidRPr="004B4CA1" w:rsidTr="00EF064A">
        <w:trPr>
          <w:cantSplit/>
          <w:trHeight w:hRule="exact" w:val="462"/>
          <w:tblCellSpacing w:w="20" w:type="dxa"/>
          <w:jc w:val="center"/>
        </w:trPr>
        <w:tc>
          <w:tcPr>
            <w:tcW w:w="1251" w:type="pct"/>
            <w:vAlign w:val="center"/>
          </w:tcPr>
          <w:p w:rsidR="00EF064A" w:rsidRPr="004B4CA1" w:rsidRDefault="00EF064A" w:rsidP="004B4CA1">
            <w:pPr>
              <w:keepNext/>
              <w:keepLines/>
              <w:autoSpaceDE w:val="0"/>
              <w:autoSpaceDN w:val="0"/>
              <w:adjustRightInd w:val="0"/>
              <w:rPr>
                <w:rFonts w:cs="Arial"/>
                <w:sz w:val="18"/>
                <w:szCs w:val="18"/>
              </w:rPr>
            </w:pPr>
            <w:r>
              <w:rPr>
                <w:sz w:val="18"/>
              </w:rPr>
              <w:t xml:space="preserve">Franchise and other sales </w:t>
            </w:r>
          </w:p>
        </w:tc>
        <w:tc>
          <w:tcPr>
            <w:tcW w:w="927" w:type="pct"/>
            <w:vAlign w:val="center"/>
          </w:tcPr>
          <w:p w:rsidR="00EF064A" w:rsidRPr="004B4CA1" w:rsidRDefault="00E03395" w:rsidP="00E279E7">
            <w:pPr>
              <w:jc w:val="right"/>
              <w:rPr>
                <w:rFonts w:cs="Arial"/>
                <w:color w:val="000000"/>
                <w:sz w:val="18"/>
                <w:szCs w:val="18"/>
              </w:rPr>
            </w:pPr>
            <w:r>
              <w:rPr>
                <w:color w:val="000000"/>
                <w:sz w:val="18"/>
              </w:rPr>
              <w:t>35,218</w:t>
            </w:r>
          </w:p>
        </w:tc>
        <w:tc>
          <w:tcPr>
            <w:tcW w:w="941" w:type="pct"/>
            <w:vAlign w:val="center"/>
          </w:tcPr>
          <w:p w:rsidR="00EF064A" w:rsidRPr="004B4CA1" w:rsidRDefault="006712FF" w:rsidP="00E279E7">
            <w:pPr>
              <w:keepNext/>
              <w:keepLines/>
              <w:autoSpaceDE w:val="0"/>
              <w:autoSpaceDN w:val="0"/>
              <w:adjustRightInd w:val="0"/>
              <w:jc w:val="right"/>
              <w:rPr>
                <w:rFonts w:cs="Arial"/>
                <w:sz w:val="18"/>
                <w:szCs w:val="18"/>
              </w:rPr>
            </w:pPr>
            <w:r>
              <w:rPr>
                <w:sz w:val="18"/>
              </w:rPr>
              <w:t>4.1</w:t>
            </w:r>
          </w:p>
        </w:tc>
        <w:tc>
          <w:tcPr>
            <w:tcW w:w="863" w:type="pct"/>
            <w:vAlign w:val="center"/>
          </w:tcPr>
          <w:p w:rsidR="00EF064A" w:rsidRPr="004B4CA1" w:rsidRDefault="006712FF" w:rsidP="006E4264">
            <w:pPr>
              <w:jc w:val="right"/>
              <w:rPr>
                <w:rFonts w:cs="Arial"/>
                <w:color w:val="000000"/>
                <w:sz w:val="18"/>
                <w:szCs w:val="18"/>
              </w:rPr>
            </w:pPr>
            <w:r>
              <w:rPr>
                <w:color w:val="000000"/>
                <w:sz w:val="18"/>
              </w:rPr>
              <w:t>32,148</w:t>
            </w:r>
          </w:p>
        </w:tc>
        <w:tc>
          <w:tcPr>
            <w:tcW w:w="888" w:type="pct"/>
            <w:vAlign w:val="center"/>
          </w:tcPr>
          <w:p w:rsidR="00EF064A" w:rsidRPr="004B4CA1" w:rsidRDefault="00EF064A" w:rsidP="006E4264">
            <w:pPr>
              <w:keepNext/>
              <w:keepLines/>
              <w:autoSpaceDE w:val="0"/>
              <w:autoSpaceDN w:val="0"/>
              <w:adjustRightInd w:val="0"/>
              <w:jc w:val="right"/>
              <w:rPr>
                <w:rFonts w:cs="Arial"/>
                <w:sz w:val="18"/>
                <w:szCs w:val="18"/>
              </w:rPr>
            </w:pPr>
            <w:r>
              <w:rPr>
                <w:sz w:val="18"/>
              </w:rPr>
              <w:t>5.</w:t>
            </w:r>
            <w:r w:rsidR="006712FF">
              <w:rPr>
                <w:sz w:val="18"/>
              </w:rPr>
              <w:t>0</w:t>
            </w:r>
          </w:p>
        </w:tc>
      </w:tr>
      <w:tr w:rsidR="00EF064A" w:rsidRPr="004B4CA1" w:rsidTr="00EF064A">
        <w:trPr>
          <w:cantSplit/>
          <w:trHeight w:hRule="exact" w:val="284"/>
          <w:tblCellSpacing w:w="20" w:type="dxa"/>
          <w:jc w:val="center"/>
        </w:trPr>
        <w:tc>
          <w:tcPr>
            <w:tcW w:w="1251" w:type="pct"/>
            <w:vAlign w:val="center"/>
          </w:tcPr>
          <w:p w:rsidR="00EF064A" w:rsidRPr="004B4CA1" w:rsidRDefault="00EF064A" w:rsidP="00E279E7">
            <w:pPr>
              <w:keepNext/>
              <w:keepLines/>
              <w:autoSpaceDE w:val="0"/>
              <w:autoSpaceDN w:val="0"/>
              <w:adjustRightInd w:val="0"/>
              <w:rPr>
                <w:rFonts w:cs="Arial"/>
                <w:b/>
                <w:bCs/>
                <w:sz w:val="18"/>
                <w:szCs w:val="18"/>
              </w:rPr>
            </w:pPr>
            <w:r>
              <w:rPr>
                <w:b/>
                <w:sz w:val="18"/>
              </w:rPr>
              <w:t>Total</w:t>
            </w:r>
          </w:p>
        </w:tc>
        <w:tc>
          <w:tcPr>
            <w:tcW w:w="927" w:type="pct"/>
            <w:vAlign w:val="center"/>
          </w:tcPr>
          <w:p w:rsidR="00EF064A" w:rsidRPr="004B4CA1" w:rsidRDefault="006712FF" w:rsidP="001C4C94">
            <w:pPr>
              <w:keepNext/>
              <w:keepLines/>
              <w:autoSpaceDE w:val="0"/>
              <w:autoSpaceDN w:val="0"/>
              <w:adjustRightInd w:val="0"/>
              <w:jc w:val="right"/>
              <w:rPr>
                <w:rFonts w:cs="Arial"/>
                <w:b/>
                <w:bCs/>
                <w:sz w:val="18"/>
                <w:szCs w:val="18"/>
              </w:rPr>
            </w:pPr>
            <w:r>
              <w:rPr>
                <w:b/>
                <w:sz w:val="18"/>
              </w:rPr>
              <w:t>855,890</w:t>
            </w:r>
          </w:p>
        </w:tc>
        <w:tc>
          <w:tcPr>
            <w:tcW w:w="941" w:type="pct"/>
            <w:vAlign w:val="center"/>
          </w:tcPr>
          <w:p w:rsidR="00EF064A" w:rsidRPr="004B4CA1" w:rsidRDefault="004B6E85" w:rsidP="00E279E7">
            <w:pPr>
              <w:keepNext/>
              <w:keepLines/>
              <w:autoSpaceDE w:val="0"/>
              <w:autoSpaceDN w:val="0"/>
              <w:adjustRightInd w:val="0"/>
              <w:jc w:val="right"/>
              <w:rPr>
                <w:rFonts w:cs="Arial"/>
                <w:b/>
                <w:bCs/>
                <w:sz w:val="18"/>
                <w:szCs w:val="18"/>
              </w:rPr>
            </w:pPr>
            <w:r>
              <w:rPr>
                <w:b/>
                <w:sz w:val="18"/>
              </w:rPr>
              <w:t>100.0</w:t>
            </w:r>
          </w:p>
        </w:tc>
        <w:tc>
          <w:tcPr>
            <w:tcW w:w="863" w:type="pct"/>
            <w:vAlign w:val="center"/>
          </w:tcPr>
          <w:p w:rsidR="00EF064A" w:rsidRPr="004B4CA1" w:rsidRDefault="006712FF" w:rsidP="006E4264">
            <w:pPr>
              <w:keepNext/>
              <w:keepLines/>
              <w:autoSpaceDE w:val="0"/>
              <w:autoSpaceDN w:val="0"/>
              <w:adjustRightInd w:val="0"/>
              <w:jc w:val="right"/>
              <w:rPr>
                <w:rFonts w:cs="Arial"/>
                <w:b/>
                <w:bCs/>
                <w:sz w:val="18"/>
                <w:szCs w:val="18"/>
              </w:rPr>
            </w:pPr>
            <w:r>
              <w:rPr>
                <w:b/>
                <w:sz w:val="18"/>
              </w:rPr>
              <w:t>643,560</w:t>
            </w:r>
          </w:p>
        </w:tc>
        <w:tc>
          <w:tcPr>
            <w:tcW w:w="888" w:type="pct"/>
            <w:vAlign w:val="center"/>
          </w:tcPr>
          <w:p w:rsidR="00EF064A" w:rsidRPr="004B4CA1" w:rsidRDefault="00EF064A" w:rsidP="006E4264">
            <w:pPr>
              <w:keepNext/>
              <w:keepLines/>
              <w:autoSpaceDE w:val="0"/>
              <w:autoSpaceDN w:val="0"/>
              <w:adjustRightInd w:val="0"/>
              <w:jc w:val="right"/>
              <w:rPr>
                <w:rFonts w:cs="Arial"/>
                <w:b/>
                <w:bCs/>
                <w:sz w:val="18"/>
                <w:szCs w:val="18"/>
              </w:rPr>
            </w:pPr>
            <w:r>
              <w:rPr>
                <w:b/>
                <w:sz w:val="18"/>
              </w:rPr>
              <w:t>100.0</w:t>
            </w:r>
          </w:p>
        </w:tc>
      </w:tr>
    </w:tbl>
    <w:p w:rsidR="00582F80" w:rsidRPr="004B4CA1" w:rsidRDefault="000418D6" w:rsidP="006E4264">
      <w:pPr>
        <w:pStyle w:val="Legenda"/>
        <w:spacing w:before="120" w:after="120"/>
      </w:pPr>
      <w:r w:rsidRPr="000418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pt;margin-top:49.9pt;width:186.65pt;height:113.6pt;z-index:251660288;mso-position-horizontal-relative:text;mso-position-vertical-relative:text">
            <v:imagedata r:id="rId8" o:title=""/>
            <w10:wrap type="square" side="right"/>
          </v:shape>
          <o:OLEObject Type="Embed" ProgID="Excel.Sheet.12" ShapeID="_x0000_s1026" DrawAspect="Content" ObjectID="_1470915981" r:id="rId9"/>
        </w:pict>
      </w:r>
      <w:r w:rsidR="00EE2EC6">
        <w:t xml:space="preserve">Figure </w:t>
      </w:r>
      <w:r w:rsidRPr="004B4CA1">
        <w:fldChar w:fldCharType="begin"/>
      </w:r>
      <w:r w:rsidR="0086492B" w:rsidRPr="004B4CA1">
        <w:instrText xml:space="preserve"> SEQ Rysunek \* ARABIC </w:instrText>
      </w:r>
      <w:r w:rsidRPr="004B4CA1">
        <w:fldChar w:fldCharType="separate"/>
      </w:r>
      <w:r w:rsidR="00CB64CA" w:rsidRPr="004B4CA1">
        <w:rPr>
          <w:noProof/>
        </w:rPr>
        <w:t>1</w:t>
      </w:r>
      <w:r w:rsidRPr="004B4CA1">
        <w:rPr>
          <w:noProof/>
        </w:rPr>
        <w:fldChar w:fldCharType="end"/>
      </w:r>
      <w:r w:rsidR="00EE2EC6">
        <w:t>. The main product supply lines of the CCC S.A. Capital Group (value)</w:t>
      </w:r>
    </w:p>
    <w:p w:rsidR="00CA5FAD" w:rsidRPr="004B4CA1" w:rsidRDefault="00CA5FAD" w:rsidP="00390936">
      <w:pPr>
        <w:jc w:val="both"/>
        <w:rPr>
          <w:b/>
        </w:rPr>
      </w:pPr>
    </w:p>
    <w:p w:rsidR="00912449" w:rsidRPr="004F6828" w:rsidRDefault="000418D6" w:rsidP="00912449">
      <w:pPr>
        <w:rPr>
          <w:b/>
          <w:lang w:val="en-US"/>
        </w:rPr>
      </w:pPr>
      <w:r>
        <w:rPr>
          <w:b/>
          <w:noProof/>
          <w:lang w:val="pl-PL" w:eastAsia="pl-PL" w:bidi="ar-SA"/>
        </w:rPr>
        <w:pict>
          <v:shapetype id="_x0000_t202" coordsize="21600,21600" o:spt="202" path="m,l,21600r21600,l21600,xe">
            <v:stroke joinstyle="miter"/>
            <v:path gradientshapeok="t" o:connecttype="rect"/>
          </v:shapetype>
          <v:shape id="_x0000_s1030" type="#_x0000_t202" style="position:absolute;margin-left:206.35pt;margin-top:1.65pt;width:187.5pt;height:33.4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CXW2gctAgAAUwQAAA4AAAAAAAAAAAAAAAAALgIAAGRycy9l&#10;Mm9Eb2MueG1sUEsBAi0AFAAGAAgAAAAhAP0vMtbbAAAABQEAAA8AAAAAAAAAAAAAAAAAhwQAAGRy&#10;cy9kb3ducmV2LnhtbFBLBQYAAAAABAAEAPMAAACPBQAAAAA=&#10;" stroked="f">
            <v:textbox>
              <w:txbxContent>
                <w:p w:rsidR="007B4B08" w:rsidRPr="004F6828" w:rsidRDefault="007B4B08" w:rsidP="00912449">
                  <w:pPr>
                    <w:jc w:val="center"/>
                    <w:rPr>
                      <w:b/>
                      <w:lang w:val="en-US"/>
                    </w:rPr>
                  </w:pPr>
                  <w:r w:rsidRPr="004F6828">
                    <w:rPr>
                      <w:b/>
                      <w:lang w:val="en-US"/>
                    </w:rPr>
                    <w:t xml:space="preserve">Territorial structure of purchases in 1H of </w:t>
                  </w:r>
                  <w:r>
                    <w:rPr>
                      <w:b/>
                      <w:lang w:val="en-US"/>
                    </w:rPr>
                    <w:t>2013</w:t>
                  </w:r>
                </w:p>
              </w:txbxContent>
            </v:textbox>
          </v:shape>
        </w:pict>
      </w:r>
      <w:r w:rsidRPr="000418D6">
        <w:rPr>
          <w:noProof/>
        </w:rPr>
        <w:pict>
          <v:shape id="Pole tekstowe 2" o:spid="_x0000_s1029" type="#_x0000_t202" style="position:absolute;margin-left:5.6pt;margin-top:1.65pt;width:187.5pt;height:33.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CXW2gctAgAAUwQAAA4AAAAAAAAAAAAAAAAALgIAAGRycy9l&#10;Mm9Eb2MueG1sUEsBAi0AFAAGAAgAAAAhAP0vMtbbAAAABQEAAA8AAAAAAAAAAAAAAAAAhwQAAGRy&#10;cy9kb3ducmV2LnhtbFBLBQYAAAAABAAEAPMAAACPBQAAAAA=&#10;" stroked="f">
            <v:textbox style="mso-next-textbox:#Pole tekstowe 2">
              <w:txbxContent>
                <w:p w:rsidR="007B4B08" w:rsidRPr="004F6828" w:rsidRDefault="007B4B08" w:rsidP="00912449">
                  <w:pPr>
                    <w:jc w:val="center"/>
                    <w:rPr>
                      <w:b/>
                      <w:lang w:val="en-US"/>
                    </w:rPr>
                  </w:pPr>
                  <w:r w:rsidRPr="004F6828">
                    <w:rPr>
                      <w:b/>
                      <w:lang w:val="en-US"/>
                    </w:rPr>
                    <w:t xml:space="preserve">Territorial structure of purchases in 1H of </w:t>
                  </w:r>
                  <w:r>
                    <w:rPr>
                      <w:b/>
                      <w:lang w:val="en-US"/>
                    </w:rPr>
                    <w:t>2014</w:t>
                  </w:r>
                </w:p>
              </w:txbxContent>
            </v:textbox>
          </v:shape>
        </w:pict>
      </w:r>
    </w:p>
    <w:p w:rsidR="00696380" w:rsidRPr="004B4CA1" w:rsidRDefault="00696380" w:rsidP="00390936">
      <w:pPr>
        <w:jc w:val="both"/>
        <w:rPr>
          <w:b/>
        </w:rPr>
      </w:pPr>
    </w:p>
    <w:bookmarkStart w:id="4" w:name="_GoBack"/>
    <w:bookmarkEnd w:id="4"/>
    <w:p w:rsidR="00696380" w:rsidRPr="004B4CA1" w:rsidRDefault="00510849" w:rsidP="00390936">
      <w:pPr>
        <w:jc w:val="both"/>
        <w:rPr>
          <w:b/>
        </w:rPr>
      </w:pPr>
      <w:r>
        <w:object w:dxaOrig="4867" w:dyaOrig="3116">
          <v:shape id="_x0000_i1025" type="#_x0000_t75" style="width:159.05pt;height:111.45pt" o:ole="">
            <v:imagedata r:id="rId10" o:title=""/>
          </v:shape>
          <o:OLEObject Type="Embed" ProgID="Excel.Sheet.12" ShapeID="_x0000_i1025" DrawAspect="Content" ObjectID="_1470915980" r:id="rId11"/>
        </w:object>
      </w:r>
    </w:p>
    <w:p w:rsidR="00696380" w:rsidRPr="004B4CA1" w:rsidRDefault="00696380" w:rsidP="00390936">
      <w:pPr>
        <w:jc w:val="both"/>
        <w:rPr>
          <w:b/>
        </w:rPr>
      </w:pPr>
    </w:p>
    <w:p w:rsidR="00696380" w:rsidRPr="004B4CA1" w:rsidRDefault="00696380" w:rsidP="00390936">
      <w:pPr>
        <w:jc w:val="both"/>
        <w:rPr>
          <w:b/>
        </w:rPr>
      </w:pPr>
    </w:p>
    <w:p w:rsidR="00B36738" w:rsidRPr="004B4CA1" w:rsidRDefault="00340622" w:rsidP="00390936">
      <w:pPr>
        <w:jc w:val="both"/>
      </w:pPr>
      <w:r>
        <w:t xml:space="preserve">Sources of supply of the </w:t>
      </w:r>
      <w:r w:rsidR="00874AB2">
        <w:t>Capital Group</w:t>
      </w:r>
      <w:r w:rsidR="00874AB2">
        <w:rPr>
          <w:b/>
        </w:rPr>
        <w:t xml:space="preserve"> </w:t>
      </w:r>
      <w:r>
        <w:t>CCC S.A. are domestic suppliers, own factory and import. Supply structure (country, import) remains at the same level. Depending on the economic conditions, the Group has the option of a fast change of the foreign sources of supply.</w:t>
      </w:r>
    </w:p>
    <w:p w:rsidR="00B36738" w:rsidRPr="004B4CA1" w:rsidRDefault="00B36738">
      <w:pPr>
        <w:spacing w:after="200" w:line="276" w:lineRule="auto"/>
      </w:pPr>
      <w:r>
        <w:br w:type="page"/>
      </w:r>
    </w:p>
    <w:p w:rsidR="00DE3F49" w:rsidRPr="004B4CA1" w:rsidRDefault="00DE3F49" w:rsidP="00275A91">
      <w:pPr>
        <w:pStyle w:val="Nagwek1"/>
      </w:pPr>
      <w:bookmarkStart w:id="5" w:name="_Toc228330402"/>
      <w:bookmarkStart w:id="6" w:name="_Toc301867621"/>
      <w:bookmarkStart w:id="7" w:name="_Toc325723760"/>
      <w:bookmarkStart w:id="8" w:name="_Toc366511803"/>
      <w:r>
        <w:lastRenderedPageBreak/>
        <w:t xml:space="preserve">The discussion of the basic economic and financial results disclosed in the </w:t>
      </w:r>
      <w:r w:rsidR="000C233D">
        <w:t>condensed</w:t>
      </w:r>
      <w:r>
        <w:t xml:space="preserve"> consolidated interim financial statements, in particular the description of factors and events, including those of non-recurring nature, having a significant impact on the Group's business activities and its gained profits or suffered losses in the financial year, as well as the discussion of the Group's prospects for development in the next financial year.</w:t>
      </w:r>
      <w:bookmarkEnd w:id="5"/>
      <w:bookmarkEnd w:id="6"/>
      <w:bookmarkEnd w:id="7"/>
      <w:bookmarkEnd w:id="8"/>
    </w:p>
    <w:p w:rsidR="00E1292A" w:rsidRPr="004B4CA1" w:rsidRDefault="00E1292A" w:rsidP="00DE3F49">
      <w:pPr>
        <w:pStyle w:val="Tekstpodstawowy"/>
        <w:jc w:val="both"/>
        <w:rPr>
          <w:b w:val="0"/>
        </w:rPr>
      </w:pPr>
    </w:p>
    <w:p w:rsidR="00DE3F49" w:rsidRPr="004B4CA1" w:rsidRDefault="00DE3F49" w:rsidP="00DE3F49">
      <w:pPr>
        <w:pStyle w:val="Tekstpodstawowy"/>
        <w:jc w:val="both"/>
        <w:rPr>
          <w:b w:val="0"/>
        </w:rPr>
      </w:pPr>
      <w:r>
        <w:rPr>
          <w:b w:val="0"/>
        </w:rPr>
        <w:t>As at 30.06.</w:t>
      </w:r>
      <w:r w:rsidR="006426A9">
        <w:rPr>
          <w:b w:val="0"/>
        </w:rPr>
        <w:t>2014</w:t>
      </w:r>
      <w:r>
        <w:rPr>
          <w:b w:val="0"/>
        </w:rPr>
        <w:t xml:space="preserve">, CCC S.A. Capital Group's sales network comprised </w:t>
      </w:r>
      <w:r w:rsidR="008911B0">
        <w:rPr>
          <w:b w:val="0"/>
        </w:rPr>
        <w:t>692</w:t>
      </w:r>
      <w:r>
        <w:rPr>
          <w:b w:val="0"/>
        </w:rPr>
        <w:t xml:space="preserve"> stores, which included:</w:t>
      </w:r>
    </w:p>
    <w:p w:rsidR="00B53A25" w:rsidRPr="004B4CA1" w:rsidRDefault="00B53A25" w:rsidP="00DE3F49">
      <w:pPr>
        <w:pStyle w:val="Tekstpodstawowy"/>
        <w:jc w:val="both"/>
        <w:rPr>
          <w:b w:val="0"/>
        </w:rPr>
      </w:pPr>
    </w:p>
    <w:p w:rsidR="002E51CD" w:rsidRPr="004B4CA1" w:rsidRDefault="00B53A25" w:rsidP="00B53A25">
      <w:pPr>
        <w:pStyle w:val="Legenda"/>
        <w:spacing w:after="120"/>
        <w:rPr>
          <w:b w:val="0"/>
        </w:rPr>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3</w:t>
      </w:r>
      <w:r w:rsidR="000418D6" w:rsidRPr="004B4CA1">
        <w:rPr>
          <w:noProof/>
        </w:rPr>
        <w:fldChar w:fldCharType="end"/>
      </w:r>
      <w:r w:rsidR="008911B0">
        <w:rPr>
          <w:noProof/>
        </w:rPr>
        <w:t>.</w:t>
      </w:r>
      <w:r>
        <w:t xml:space="preserve"> Number of stores as of 30.06.</w:t>
      </w:r>
      <w:r w:rsidR="006426A9">
        <w:t>2014</w:t>
      </w:r>
      <w:r>
        <w:t xml:space="preserve"> and 30.06.</w:t>
      </w:r>
      <w:r w:rsidR="00B26839">
        <w:t>2013</w:t>
      </w:r>
    </w:p>
    <w:tbl>
      <w:tblPr>
        <w:tblW w:w="4644" w:type="pct"/>
        <w:jc w:val="center"/>
        <w:tblCellSpacing w:w="20" w:type="dxa"/>
        <w:tblInd w:w="-43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835"/>
        <w:gridCol w:w="3020"/>
        <w:gridCol w:w="1143"/>
        <w:gridCol w:w="1226"/>
        <w:gridCol w:w="1226"/>
        <w:gridCol w:w="1472"/>
      </w:tblGrid>
      <w:tr w:rsidR="00894759" w:rsidRPr="004B4CA1" w:rsidTr="00894759">
        <w:trPr>
          <w:cantSplit/>
          <w:trHeight w:hRule="exact" w:val="397"/>
          <w:tblCellSpacing w:w="20" w:type="dxa"/>
          <w:jc w:val="center"/>
        </w:trPr>
        <w:tc>
          <w:tcPr>
            <w:tcW w:w="2134" w:type="pct"/>
            <w:gridSpan w:val="2"/>
            <w:vMerge w:val="restart"/>
            <w:shd w:val="clear" w:color="auto" w:fill="D9D9D9" w:themeFill="background1" w:themeFillShade="D9"/>
            <w:vAlign w:val="center"/>
          </w:tcPr>
          <w:p w:rsidR="006B54DB" w:rsidRPr="004B4CA1" w:rsidRDefault="006B54DB" w:rsidP="002E51CD">
            <w:pPr>
              <w:ind w:right="200"/>
              <w:jc w:val="right"/>
              <w:rPr>
                <w:rFonts w:cs="Arial"/>
                <w:sz w:val="18"/>
                <w:szCs w:val="18"/>
              </w:rPr>
            </w:pPr>
          </w:p>
        </w:tc>
        <w:tc>
          <w:tcPr>
            <w:tcW w:w="1301" w:type="pct"/>
            <w:gridSpan w:val="2"/>
            <w:shd w:val="clear" w:color="auto" w:fill="D9D9D9" w:themeFill="background1" w:themeFillShade="D9"/>
            <w:vAlign w:val="center"/>
          </w:tcPr>
          <w:p w:rsidR="006B54DB" w:rsidRDefault="006B54DB" w:rsidP="002E51CD">
            <w:pPr>
              <w:jc w:val="center"/>
              <w:rPr>
                <w:b/>
                <w:i/>
                <w:sz w:val="16"/>
              </w:rPr>
            </w:pPr>
            <w:r>
              <w:rPr>
                <w:b/>
                <w:i/>
                <w:sz w:val="16"/>
              </w:rPr>
              <w:t>30.06.2013</w:t>
            </w:r>
          </w:p>
        </w:tc>
        <w:tc>
          <w:tcPr>
            <w:tcW w:w="1476" w:type="pct"/>
            <w:gridSpan w:val="2"/>
            <w:shd w:val="clear" w:color="auto" w:fill="D9D9D9" w:themeFill="background1" w:themeFillShade="D9"/>
            <w:vAlign w:val="center"/>
          </w:tcPr>
          <w:p w:rsidR="006B54DB" w:rsidRDefault="006B54DB" w:rsidP="002E51CD">
            <w:pPr>
              <w:jc w:val="center"/>
              <w:rPr>
                <w:b/>
                <w:i/>
                <w:sz w:val="16"/>
              </w:rPr>
            </w:pPr>
            <w:r>
              <w:rPr>
                <w:b/>
                <w:i/>
                <w:sz w:val="16"/>
              </w:rPr>
              <w:t>30.06.2014</w:t>
            </w:r>
          </w:p>
        </w:tc>
      </w:tr>
      <w:tr w:rsidR="00894759" w:rsidRPr="004B4CA1" w:rsidTr="00894759">
        <w:trPr>
          <w:cantSplit/>
          <w:trHeight w:hRule="exact" w:val="397"/>
          <w:tblCellSpacing w:w="20" w:type="dxa"/>
          <w:jc w:val="center"/>
        </w:trPr>
        <w:tc>
          <w:tcPr>
            <w:tcW w:w="2134" w:type="pct"/>
            <w:gridSpan w:val="2"/>
            <w:vMerge/>
            <w:shd w:val="clear" w:color="auto" w:fill="D9D9D9" w:themeFill="background1" w:themeFillShade="D9"/>
            <w:vAlign w:val="center"/>
          </w:tcPr>
          <w:p w:rsidR="00894759" w:rsidRPr="004B4CA1" w:rsidRDefault="00894759" w:rsidP="002E51CD">
            <w:pPr>
              <w:ind w:right="200"/>
              <w:jc w:val="right"/>
              <w:rPr>
                <w:rFonts w:cs="Arial"/>
                <w:sz w:val="18"/>
                <w:szCs w:val="18"/>
              </w:rPr>
            </w:pPr>
          </w:p>
        </w:tc>
        <w:tc>
          <w:tcPr>
            <w:tcW w:w="627" w:type="pct"/>
            <w:shd w:val="clear" w:color="auto" w:fill="D9D9D9" w:themeFill="background1" w:themeFillShade="D9"/>
            <w:vAlign w:val="center"/>
          </w:tcPr>
          <w:p w:rsidR="00894759" w:rsidRPr="004B4CA1" w:rsidRDefault="00894759" w:rsidP="008676CF">
            <w:pPr>
              <w:keepNext/>
              <w:keepLines/>
              <w:autoSpaceDE w:val="0"/>
              <w:autoSpaceDN w:val="0"/>
              <w:adjustRightInd w:val="0"/>
              <w:jc w:val="center"/>
              <w:rPr>
                <w:b/>
                <w:bCs/>
                <w:i/>
                <w:iCs/>
                <w:sz w:val="16"/>
                <w:szCs w:val="16"/>
              </w:rPr>
            </w:pPr>
            <w:r>
              <w:rPr>
                <w:b/>
                <w:bCs/>
                <w:i/>
                <w:iCs/>
                <w:sz w:val="16"/>
                <w:szCs w:val="16"/>
              </w:rPr>
              <w:t>m</w:t>
            </w:r>
            <w:r>
              <w:rPr>
                <w:rFonts w:cs="Arial"/>
                <w:b/>
                <w:bCs/>
                <w:i/>
                <w:iCs/>
                <w:sz w:val="16"/>
                <w:szCs w:val="16"/>
              </w:rPr>
              <w:t>²</w:t>
            </w:r>
          </w:p>
        </w:tc>
        <w:tc>
          <w:tcPr>
            <w:tcW w:w="652" w:type="pct"/>
            <w:shd w:val="clear" w:color="auto" w:fill="D9D9D9" w:themeFill="background1" w:themeFillShade="D9"/>
            <w:vAlign w:val="center"/>
          </w:tcPr>
          <w:p w:rsidR="00894759" w:rsidRPr="00894759" w:rsidRDefault="00894759" w:rsidP="008676CF">
            <w:pPr>
              <w:jc w:val="center"/>
              <w:rPr>
                <w:b/>
                <w:sz w:val="16"/>
                <w:szCs w:val="16"/>
              </w:rPr>
            </w:pPr>
            <w:r w:rsidRPr="00894759">
              <w:rPr>
                <w:b/>
                <w:sz w:val="16"/>
                <w:szCs w:val="16"/>
              </w:rPr>
              <w:t>number</w:t>
            </w:r>
          </w:p>
        </w:tc>
        <w:tc>
          <w:tcPr>
            <w:tcW w:w="674" w:type="pct"/>
            <w:shd w:val="clear" w:color="auto" w:fill="D9D9D9" w:themeFill="background1" w:themeFillShade="D9"/>
            <w:vAlign w:val="center"/>
          </w:tcPr>
          <w:p w:rsidR="00894759" w:rsidRPr="004B4CA1" w:rsidRDefault="00894759" w:rsidP="004E341C">
            <w:pPr>
              <w:keepNext/>
              <w:keepLines/>
              <w:autoSpaceDE w:val="0"/>
              <w:autoSpaceDN w:val="0"/>
              <w:adjustRightInd w:val="0"/>
              <w:jc w:val="center"/>
              <w:rPr>
                <w:b/>
                <w:bCs/>
                <w:i/>
                <w:iCs/>
                <w:sz w:val="16"/>
                <w:szCs w:val="16"/>
              </w:rPr>
            </w:pPr>
            <w:r>
              <w:rPr>
                <w:b/>
                <w:bCs/>
                <w:i/>
                <w:iCs/>
                <w:sz w:val="16"/>
                <w:szCs w:val="16"/>
              </w:rPr>
              <w:t>m</w:t>
            </w:r>
            <w:r>
              <w:rPr>
                <w:rFonts w:cs="Arial"/>
                <w:b/>
                <w:bCs/>
                <w:i/>
                <w:iCs/>
                <w:sz w:val="16"/>
                <w:szCs w:val="16"/>
              </w:rPr>
              <w:t>²</w:t>
            </w:r>
          </w:p>
        </w:tc>
        <w:tc>
          <w:tcPr>
            <w:tcW w:w="779" w:type="pct"/>
            <w:shd w:val="clear" w:color="auto" w:fill="D9D9D9" w:themeFill="background1" w:themeFillShade="D9"/>
            <w:vAlign w:val="center"/>
          </w:tcPr>
          <w:p w:rsidR="00894759" w:rsidRPr="00894759" w:rsidRDefault="00894759" w:rsidP="004E341C">
            <w:pPr>
              <w:jc w:val="center"/>
              <w:rPr>
                <w:b/>
                <w:sz w:val="16"/>
                <w:szCs w:val="16"/>
              </w:rPr>
            </w:pPr>
            <w:r w:rsidRPr="00894759">
              <w:rPr>
                <w:b/>
                <w:sz w:val="16"/>
                <w:szCs w:val="16"/>
              </w:rPr>
              <w:t>number</w:t>
            </w:r>
          </w:p>
        </w:tc>
      </w:tr>
      <w:tr w:rsidR="00894759" w:rsidRPr="004B4CA1" w:rsidTr="002E11E9">
        <w:trPr>
          <w:cantSplit/>
          <w:trHeight w:hRule="exact" w:val="284"/>
          <w:tblCellSpacing w:w="20" w:type="dxa"/>
          <w:jc w:val="center"/>
        </w:trPr>
        <w:tc>
          <w:tcPr>
            <w:tcW w:w="441" w:type="pct"/>
            <w:vMerge w:val="restart"/>
            <w:shd w:val="clear" w:color="auto" w:fill="D9D9D9" w:themeFill="background1" w:themeFillShade="D9"/>
            <w:textDirection w:val="btLr"/>
            <w:vAlign w:val="center"/>
          </w:tcPr>
          <w:p w:rsidR="00894759" w:rsidRPr="004B4CA1" w:rsidRDefault="00894759" w:rsidP="002E51CD">
            <w:pPr>
              <w:ind w:left="113" w:right="113"/>
              <w:jc w:val="center"/>
              <w:rPr>
                <w:rFonts w:cs="Arial"/>
                <w:b/>
                <w:sz w:val="18"/>
                <w:szCs w:val="18"/>
              </w:rPr>
            </w:pPr>
            <w:r>
              <w:rPr>
                <w:b/>
                <w:sz w:val="16"/>
              </w:rPr>
              <w:t>OWN STORES</w:t>
            </w:r>
          </w:p>
        </w:tc>
        <w:tc>
          <w:tcPr>
            <w:tcW w:w="1671" w:type="pct"/>
            <w:vAlign w:val="center"/>
          </w:tcPr>
          <w:p w:rsidR="00894759" w:rsidRPr="004B4CA1" w:rsidRDefault="00894759" w:rsidP="002E51CD">
            <w:pPr>
              <w:rPr>
                <w:sz w:val="16"/>
                <w:szCs w:val="16"/>
              </w:rPr>
            </w:pPr>
            <w:r>
              <w:rPr>
                <w:sz w:val="16"/>
              </w:rPr>
              <w:t>CCC (Poland), including:</w:t>
            </w:r>
          </w:p>
        </w:tc>
        <w:tc>
          <w:tcPr>
            <w:tcW w:w="627" w:type="pct"/>
            <w:vAlign w:val="center"/>
          </w:tcPr>
          <w:p w:rsidR="00894759" w:rsidRPr="002E11E9" w:rsidRDefault="00894759" w:rsidP="002E11E9">
            <w:pPr>
              <w:jc w:val="center"/>
              <w:rPr>
                <w:sz w:val="16"/>
                <w:szCs w:val="16"/>
              </w:rPr>
            </w:pPr>
            <w:r w:rsidRPr="002E11E9">
              <w:rPr>
                <w:sz w:val="16"/>
              </w:rPr>
              <w:t>135 374</w:t>
            </w:r>
          </w:p>
        </w:tc>
        <w:tc>
          <w:tcPr>
            <w:tcW w:w="652" w:type="pct"/>
            <w:vAlign w:val="center"/>
          </w:tcPr>
          <w:p w:rsidR="00894759" w:rsidRPr="002E11E9" w:rsidRDefault="00894759" w:rsidP="002E11E9">
            <w:pPr>
              <w:jc w:val="center"/>
              <w:rPr>
                <w:sz w:val="16"/>
              </w:rPr>
            </w:pPr>
            <w:r w:rsidRPr="002E11E9">
              <w:rPr>
                <w:sz w:val="16"/>
              </w:rPr>
              <w:t>377</w:t>
            </w:r>
          </w:p>
        </w:tc>
        <w:tc>
          <w:tcPr>
            <w:tcW w:w="674" w:type="pct"/>
            <w:vAlign w:val="center"/>
          </w:tcPr>
          <w:p w:rsidR="00894759" w:rsidRPr="002E11E9" w:rsidRDefault="00894759" w:rsidP="002E11E9">
            <w:pPr>
              <w:jc w:val="center"/>
              <w:rPr>
                <w:sz w:val="16"/>
                <w:szCs w:val="16"/>
              </w:rPr>
            </w:pPr>
            <w:r w:rsidRPr="002E11E9">
              <w:rPr>
                <w:sz w:val="16"/>
              </w:rPr>
              <w:t>151 783</w:t>
            </w:r>
          </w:p>
        </w:tc>
        <w:tc>
          <w:tcPr>
            <w:tcW w:w="779" w:type="pct"/>
            <w:vAlign w:val="center"/>
          </w:tcPr>
          <w:p w:rsidR="00894759" w:rsidRPr="002E11E9" w:rsidRDefault="00894759" w:rsidP="002E11E9">
            <w:pPr>
              <w:jc w:val="center"/>
              <w:rPr>
                <w:sz w:val="16"/>
              </w:rPr>
            </w:pPr>
            <w:r w:rsidRPr="002E11E9">
              <w:rPr>
                <w:sz w:val="16"/>
              </w:rPr>
              <w:t>388</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Pr="004B4CA1" w:rsidRDefault="00894759" w:rsidP="002E51CD">
            <w:pPr>
              <w:rPr>
                <w:i/>
                <w:sz w:val="16"/>
                <w:szCs w:val="16"/>
              </w:rPr>
            </w:pPr>
            <w:r>
              <w:rPr>
                <w:i/>
                <w:sz w:val="16"/>
              </w:rPr>
              <w:t>- CCC (agency)</w:t>
            </w:r>
          </w:p>
        </w:tc>
        <w:tc>
          <w:tcPr>
            <w:tcW w:w="627" w:type="pct"/>
            <w:vAlign w:val="center"/>
          </w:tcPr>
          <w:p w:rsidR="00894759" w:rsidRPr="002E11E9" w:rsidRDefault="00894759" w:rsidP="002E11E9">
            <w:pPr>
              <w:jc w:val="center"/>
              <w:rPr>
                <w:sz w:val="16"/>
                <w:szCs w:val="16"/>
              </w:rPr>
            </w:pPr>
            <w:r w:rsidRPr="002E11E9">
              <w:rPr>
                <w:sz w:val="16"/>
              </w:rPr>
              <w:t>11 751</w:t>
            </w:r>
          </w:p>
        </w:tc>
        <w:tc>
          <w:tcPr>
            <w:tcW w:w="652" w:type="pct"/>
            <w:vAlign w:val="center"/>
          </w:tcPr>
          <w:p w:rsidR="00894759" w:rsidRPr="002E11E9" w:rsidRDefault="00894759" w:rsidP="002E11E9">
            <w:pPr>
              <w:jc w:val="center"/>
              <w:rPr>
                <w:sz w:val="16"/>
              </w:rPr>
            </w:pPr>
            <w:r w:rsidRPr="002E11E9">
              <w:rPr>
                <w:sz w:val="16"/>
              </w:rPr>
              <w:t>37</w:t>
            </w:r>
          </w:p>
        </w:tc>
        <w:tc>
          <w:tcPr>
            <w:tcW w:w="674" w:type="pct"/>
            <w:vAlign w:val="center"/>
          </w:tcPr>
          <w:p w:rsidR="00894759" w:rsidRPr="002E11E9" w:rsidRDefault="00894759" w:rsidP="002E11E9">
            <w:pPr>
              <w:jc w:val="center"/>
              <w:rPr>
                <w:sz w:val="16"/>
                <w:szCs w:val="16"/>
              </w:rPr>
            </w:pPr>
            <w:r w:rsidRPr="002E11E9">
              <w:rPr>
                <w:sz w:val="16"/>
              </w:rPr>
              <w:t>12 998</w:t>
            </w:r>
          </w:p>
        </w:tc>
        <w:tc>
          <w:tcPr>
            <w:tcW w:w="779" w:type="pct"/>
            <w:vAlign w:val="center"/>
          </w:tcPr>
          <w:p w:rsidR="00894759" w:rsidRPr="002E11E9" w:rsidRDefault="00894759" w:rsidP="002E11E9">
            <w:pPr>
              <w:jc w:val="center"/>
              <w:rPr>
                <w:sz w:val="16"/>
              </w:rPr>
            </w:pPr>
            <w:r w:rsidRPr="002E11E9">
              <w:rPr>
                <w:sz w:val="16"/>
              </w:rPr>
              <w:t>38</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Pr="004B4CA1" w:rsidRDefault="00894759" w:rsidP="002E51CD">
            <w:pPr>
              <w:rPr>
                <w:sz w:val="16"/>
                <w:szCs w:val="16"/>
              </w:rPr>
            </w:pPr>
            <w:r>
              <w:rPr>
                <w:sz w:val="16"/>
              </w:rPr>
              <w:t>CCC (the Czech Republic)</w:t>
            </w:r>
          </w:p>
        </w:tc>
        <w:tc>
          <w:tcPr>
            <w:tcW w:w="627" w:type="pct"/>
            <w:vAlign w:val="center"/>
          </w:tcPr>
          <w:p w:rsidR="00894759" w:rsidRPr="002E11E9" w:rsidRDefault="00202FFB" w:rsidP="002E11E9">
            <w:pPr>
              <w:jc w:val="center"/>
              <w:rPr>
                <w:sz w:val="16"/>
                <w:szCs w:val="16"/>
              </w:rPr>
            </w:pPr>
            <w:r w:rsidRPr="002E11E9">
              <w:rPr>
                <w:sz w:val="16"/>
              </w:rPr>
              <w:t>23 027</w:t>
            </w:r>
          </w:p>
        </w:tc>
        <w:tc>
          <w:tcPr>
            <w:tcW w:w="652" w:type="pct"/>
            <w:vAlign w:val="center"/>
          </w:tcPr>
          <w:p w:rsidR="00894759" w:rsidRPr="002E11E9" w:rsidRDefault="00202FFB" w:rsidP="002E11E9">
            <w:pPr>
              <w:jc w:val="center"/>
              <w:rPr>
                <w:sz w:val="16"/>
              </w:rPr>
            </w:pPr>
            <w:r w:rsidRPr="002E11E9">
              <w:rPr>
                <w:sz w:val="16"/>
              </w:rPr>
              <w:t>65</w:t>
            </w:r>
          </w:p>
        </w:tc>
        <w:tc>
          <w:tcPr>
            <w:tcW w:w="674" w:type="pct"/>
            <w:vAlign w:val="center"/>
          </w:tcPr>
          <w:p w:rsidR="00894759" w:rsidRPr="002E11E9" w:rsidRDefault="00202FFB" w:rsidP="002E11E9">
            <w:pPr>
              <w:jc w:val="center"/>
              <w:rPr>
                <w:sz w:val="16"/>
                <w:szCs w:val="16"/>
              </w:rPr>
            </w:pPr>
            <w:r w:rsidRPr="002E11E9">
              <w:rPr>
                <w:sz w:val="16"/>
              </w:rPr>
              <w:t>29 354</w:t>
            </w:r>
          </w:p>
        </w:tc>
        <w:tc>
          <w:tcPr>
            <w:tcW w:w="779" w:type="pct"/>
            <w:vAlign w:val="center"/>
          </w:tcPr>
          <w:p w:rsidR="00894759" w:rsidRPr="002E11E9" w:rsidRDefault="00202FFB" w:rsidP="002E11E9">
            <w:pPr>
              <w:jc w:val="center"/>
              <w:rPr>
                <w:sz w:val="16"/>
              </w:rPr>
            </w:pPr>
            <w:r w:rsidRPr="002E11E9">
              <w:rPr>
                <w:sz w:val="16"/>
              </w:rPr>
              <w:t>75</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Pr="004B4CA1" w:rsidRDefault="00894759" w:rsidP="008911B0">
            <w:pPr>
              <w:rPr>
                <w:sz w:val="16"/>
                <w:szCs w:val="16"/>
              </w:rPr>
            </w:pPr>
            <w:r>
              <w:rPr>
                <w:sz w:val="16"/>
              </w:rPr>
              <w:t>CCC (Hungary)</w:t>
            </w:r>
          </w:p>
        </w:tc>
        <w:tc>
          <w:tcPr>
            <w:tcW w:w="627" w:type="pct"/>
            <w:vAlign w:val="center"/>
          </w:tcPr>
          <w:p w:rsidR="00894759" w:rsidRPr="002E11E9" w:rsidRDefault="00202FFB" w:rsidP="002E11E9">
            <w:pPr>
              <w:jc w:val="center"/>
              <w:rPr>
                <w:sz w:val="16"/>
                <w:szCs w:val="16"/>
              </w:rPr>
            </w:pPr>
            <w:r w:rsidRPr="002E11E9">
              <w:rPr>
                <w:sz w:val="16"/>
              </w:rPr>
              <w:t>12 074</w:t>
            </w:r>
          </w:p>
        </w:tc>
        <w:tc>
          <w:tcPr>
            <w:tcW w:w="652" w:type="pct"/>
            <w:vAlign w:val="center"/>
          </w:tcPr>
          <w:p w:rsidR="00894759" w:rsidRPr="002E11E9" w:rsidRDefault="00202FFB" w:rsidP="002E11E9">
            <w:pPr>
              <w:jc w:val="center"/>
              <w:rPr>
                <w:sz w:val="16"/>
              </w:rPr>
            </w:pPr>
            <w:r w:rsidRPr="002E11E9">
              <w:rPr>
                <w:sz w:val="16"/>
              </w:rPr>
              <w:t>30</w:t>
            </w:r>
          </w:p>
        </w:tc>
        <w:tc>
          <w:tcPr>
            <w:tcW w:w="674" w:type="pct"/>
            <w:vAlign w:val="center"/>
          </w:tcPr>
          <w:p w:rsidR="00894759" w:rsidRPr="002E11E9" w:rsidRDefault="00202FFB" w:rsidP="002E11E9">
            <w:pPr>
              <w:jc w:val="center"/>
              <w:rPr>
                <w:sz w:val="16"/>
                <w:szCs w:val="16"/>
              </w:rPr>
            </w:pPr>
            <w:r w:rsidRPr="002E11E9">
              <w:rPr>
                <w:sz w:val="16"/>
              </w:rPr>
              <w:t>25 792</w:t>
            </w:r>
          </w:p>
        </w:tc>
        <w:tc>
          <w:tcPr>
            <w:tcW w:w="779" w:type="pct"/>
            <w:vAlign w:val="center"/>
          </w:tcPr>
          <w:p w:rsidR="00894759" w:rsidRPr="002E11E9" w:rsidRDefault="00202FFB" w:rsidP="002E11E9">
            <w:pPr>
              <w:jc w:val="center"/>
              <w:rPr>
                <w:sz w:val="16"/>
              </w:rPr>
            </w:pPr>
            <w:r w:rsidRPr="002E11E9">
              <w:rPr>
                <w:sz w:val="16"/>
              </w:rPr>
              <w:t>54</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Pr="004B4CA1" w:rsidRDefault="00894759" w:rsidP="008911B0">
            <w:pPr>
              <w:rPr>
                <w:sz w:val="16"/>
                <w:szCs w:val="16"/>
              </w:rPr>
            </w:pPr>
            <w:r>
              <w:rPr>
                <w:sz w:val="16"/>
              </w:rPr>
              <w:t>CCC (Slovakia)</w:t>
            </w:r>
          </w:p>
        </w:tc>
        <w:tc>
          <w:tcPr>
            <w:tcW w:w="627" w:type="pct"/>
            <w:vAlign w:val="center"/>
          </w:tcPr>
          <w:p w:rsidR="00894759" w:rsidRPr="002E11E9" w:rsidRDefault="00202FFB" w:rsidP="002E11E9">
            <w:pPr>
              <w:jc w:val="center"/>
              <w:rPr>
                <w:sz w:val="16"/>
                <w:szCs w:val="16"/>
              </w:rPr>
            </w:pPr>
            <w:r w:rsidRPr="002E11E9">
              <w:rPr>
                <w:sz w:val="16"/>
              </w:rPr>
              <w:t>8 574</w:t>
            </w:r>
          </w:p>
        </w:tc>
        <w:tc>
          <w:tcPr>
            <w:tcW w:w="652" w:type="pct"/>
            <w:vAlign w:val="center"/>
          </w:tcPr>
          <w:p w:rsidR="00894759" w:rsidRPr="002E11E9" w:rsidRDefault="00202FFB" w:rsidP="002E11E9">
            <w:pPr>
              <w:jc w:val="center"/>
              <w:rPr>
                <w:sz w:val="16"/>
              </w:rPr>
            </w:pPr>
            <w:r w:rsidRPr="002E11E9">
              <w:rPr>
                <w:sz w:val="16"/>
              </w:rPr>
              <w:t>21</w:t>
            </w:r>
          </w:p>
        </w:tc>
        <w:tc>
          <w:tcPr>
            <w:tcW w:w="674" w:type="pct"/>
            <w:vAlign w:val="center"/>
          </w:tcPr>
          <w:p w:rsidR="00894759" w:rsidRPr="002E11E9" w:rsidRDefault="00202FFB" w:rsidP="002E11E9">
            <w:pPr>
              <w:jc w:val="center"/>
              <w:rPr>
                <w:sz w:val="16"/>
                <w:szCs w:val="16"/>
              </w:rPr>
            </w:pPr>
            <w:r w:rsidRPr="002E11E9">
              <w:rPr>
                <w:sz w:val="16"/>
              </w:rPr>
              <w:t>11 830</w:t>
            </w:r>
          </w:p>
        </w:tc>
        <w:tc>
          <w:tcPr>
            <w:tcW w:w="779" w:type="pct"/>
            <w:vAlign w:val="center"/>
          </w:tcPr>
          <w:p w:rsidR="00894759" w:rsidRPr="002E11E9" w:rsidRDefault="00202FFB" w:rsidP="002E11E9">
            <w:pPr>
              <w:jc w:val="center"/>
              <w:rPr>
                <w:sz w:val="16"/>
              </w:rPr>
            </w:pPr>
            <w:r w:rsidRPr="002E11E9">
              <w:rPr>
                <w:sz w:val="16"/>
              </w:rPr>
              <w:t>27</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Default="00894759" w:rsidP="008911B0">
            <w:pPr>
              <w:rPr>
                <w:sz w:val="16"/>
              </w:rPr>
            </w:pPr>
            <w:r>
              <w:rPr>
                <w:sz w:val="16"/>
              </w:rPr>
              <w:t>CCC (Austria)</w:t>
            </w:r>
          </w:p>
        </w:tc>
        <w:tc>
          <w:tcPr>
            <w:tcW w:w="627" w:type="pct"/>
            <w:vAlign w:val="center"/>
          </w:tcPr>
          <w:p w:rsidR="00894759" w:rsidRPr="002E11E9" w:rsidRDefault="004E341C" w:rsidP="002E11E9">
            <w:pPr>
              <w:jc w:val="center"/>
              <w:rPr>
                <w:sz w:val="16"/>
              </w:rPr>
            </w:pPr>
            <w:r w:rsidRPr="002E11E9">
              <w:rPr>
                <w:sz w:val="16"/>
              </w:rPr>
              <w:t>-</w:t>
            </w:r>
          </w:p>
        </w:tc>
        <w:tc>
          <w:tcPr>
            <w:tcW w:w="652" w:type="pct"/>
            <w:vAlign w:val="center"/>
          </w:tcPr>
          <w:p w:rsidR="00894759" w:rsidRPr="002E11E9" w:rsidRDefault="004E341C" w:rsidP="002E11E9">
            <w:pPr>
              <w:jc w:val="center"/>
              <w:rPr>
                <w:sz w:val="16"/>
              </w:rPr>
            </w:pPr>
            <w:r w:rsidRPr="002E11E9">
              <w:rPr>
                <w:sz w:val="16"/>
              </w:rPr>
              <w:t>-</w:t>
            </w:r>
          </w:p>
        </w:tc>
        <w:tc>
          <w:tcPr>
            <w:tcW w:w="674" w:type="pct"/>
            <w:vAlign w:val="center"/>
          </w:tcPr>
          <w:p w:rsidR="00894759" w:rsidRPr="002E11E9" w:rsidRDefault="004E341C" w:rsidP="002E11E9">
            <w:pPr>
              <w:jc w:val="center"/>
              <w:rPr>
                <w:sz w:val="16"/>
              </w:rPr>
            </w:pPr>
            <w:r w:rsidRPr="002E11E9">
              <w:rPr>
                <w:sz w:val="16"/>
              </w:rPr>
              <w:t>6 391</w:t>
            </w:r>
          </w:p>
        </w:tc>
        <w:tc>
          <w:tcPr>
            <w:tcW w:w="779" w:type="pct"/>
            <w:vAlign w:val="center"/>
          </w:tcPr>
          <w:p w:rsidR="00894759" w:rsidRPr="002E11E9" w:rsidRDefault="004E341C" w:rsidP="002E11E9">
            <w:pPr>
              <w:jc w:val="center"/>
              <w:rPr>
                <w:sz w:val="16"/>
              </w:rPr>
            </w:pPr>
            <w:r w:rsidRPr="002E11E9">
              <w:rPr>
                <w:sz w:val="16"/>
              </w:rPr>
              <w:t>12</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Default="00894759" w:rsidP="008911B0">
            <w:pPr>
              <w:rPr>
                <w:sz w:val="16"/>
              </w:rPr>
            </w:pPr>
            <w:r>
              <w:rPr>
                <w:sz w:val="16"/>
              </w:rPr>
              <w:t>CCC (Germany)</w:t>
            </w:r>
          </w:p>
        </w:tc>
        <w:tc>
          <w:tcPr>
            <w:tcW w:w="627" w:type="pct"/>
            <w:vAlign w:val="center"/>
          </w:tcPr>
          <w:p w:rsidR="00894759" w:rsidRPr="002E11E9" w:rsidRDefault="004E341C" w:rsidP="002E11E9">
            <w:pPr>
              <w:jc w:val="center"/>
              <w:rPr>
                <w:sz w:val="16"/>
              </w:rPr>
            </w:pPr>
            <w:r w:rsidRPr="002E11E9">
              <w:rPr>
                <w:sz w:val="16"/>
              </w:rPr>
              <w:t>-</w:t>
            </w:r>
          </w:p>
        </w:tc>
        <w:tc>
          <w:tcPr>
            <w:tcW w:w="652" w:type="pct"/>
            <w:vAlign w:val="center"/>
          </w:tcPr>
          <w:p w:rsidR="00894759" w:rsidRPr="002E11E9" w:rsidRDefault="004E341C" w:rsidP="002E11E9">
            <w:pPr>
              <w:jc w:val="center"/>
              <w:rPr>
                <w:sz w:val="16"/>
              </w:rPr>
            </w:pPr>
            <w:r w:rsidRPr="002E11E9">
              <w:rPr>
                <w:sz w:val="16"/>
              </w:rPr>
              <w:t>-</w:t>
            </w:r>
          </w:p>
        </w:tc>
        <w:tc>
          <w:tcPr>
            <w:tcW w:w="674" w:type="pct"/>
            <w:vAlign w:val="center"/>
          </w:tcPr>
          <w:p w:rsidR="00894759" w:rsidRPr="002E11E9" w:rsidRDefault="004E341C" w:rsidP="002E11E9">
            <w:pPr>
              <w:jc w:val="center"/>
              <w:rPr>
                <w:sz w:val="16"/>
              </w:rPr>
            </w:pPr>
            <w:r w:rsidRPr="002E11E9">
              <w:rPr>
                <w:sz w:val="16"/>
              </w:rPr>
              <w:t>6 354</w:t>
            </w:r>
          </w:p>
        </w:tc>
        <w:tc>
          <w:tcPr>
            <w:tcW w:w="779" w:type="pct"/>
            <w:vAlign w:val="center"/>
          </w:tcPr>
          <w:p w:rsidR="00894759" w:rsidRPr="002E11E9" w:rsidRDefault="004E341C" w:rsidP="002E11E9">
            <w:pPr>
              <w:jc w:val="center"/>
              <w:rPr>
                <w:sz w:val="16"/>
              </w:rPr>
            </w:pPr>
            <w:r w:rsidRPr="002E11E9">
              <w:rPr>
                <w:sz w:val="16"/>
              </w:rPr>
              <w:t>10</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Default="00894759" w:rsidP="008911B0">
            <w:pPr>
              <w:rPr>
                <w:sz w:val="16"/>
              </w:rPr>
            </w:pPr>
            <w:r>
              <w:rPr>
                <w:sz w:val="16"/>
              </w:rPr>
              <w:t>CCC (Croatia)</w:t>
            </w:r>
          </w:p>
        </w:tc>
        <w:tc>
          <w:tcPr>
            <w:tcW w:w="627" w:type="pct"/>
            <w:vAlign w:val="center"/>
          </w:tcPr>
          <w:p w:rsidR="00894759" w:rsidRPr="002E11E9" w:rsidRDefault="004E341C" w:rsidP="002E11E9">
            <w:pPr>
              <w:jc w:val="center"/>
              <w:rPr>
                <w:sz w:val="16"/>
              </w:rPr>
            </w:pPr>
            <w:r w:rsidRPr="002E11E9">
              <w:rPr>
                <w:sz w:val="16"/>
              </w:rPr>
              <w:t>-</w:t>
            </w:r>
          </w:p>
        </w:tc>
        <w:tc>
          <w:tcPr>
            <w:tcW w:w="652" w:type="pct"/>
            <w:vAlign w:val="center"/>
          </w:tcPr>
          <w:p w:rsidR="00894759" w:rsidRPr="002E11E9" w:rsidRDefault="004E341C" w:rsidP="002E11E9">
            <w:pPr>
              <w:jc w:val="center"/>
              <w:rPr>
                <w:sz w:val="16"/>
              </w:rPr>
            </w:pPr>
            <w:r w:rsidRPr="002E11E9">
              <w:rPr>
                <w:sz w:val="16"/>
              </w:rPr>
              <w:t>-</w:t>
            </w:r>
          </w:p>
        </w:tc>
        <w:tc>
          <w:tcPr>
            <w:tcW w:w="674" w:type="pct"/>
            <w:vAlign w:val="center"/>
          </w:tcPr>
          <w:p w:rsidR="00894759" w:rsidRPr="002E11E9" w:rsidRDefault="002E11E9" w:rsidP="002E11E9">
            <w:pPr>
              <w:jc w:val="center"/>
              <w:rPr>
                <w:sz w:val="16"/>
              </w:rPr>
            </w:pPr>
            <w:r w:rsidRPr="002E11E9">
              <w:rPr>
                <w:sz w:val="16"/>
              </w:rPr>
              <w:t>1 966</w:t>
            </w:r>
          </w:p>
        </w:tc>
        <w:tc>
          <w:tcPr>
            <w:tcW w:w="779" w:type="pct"/>
            <w:vAlign w:val="center"/>
          </w:tcPr>
          <w:p w:rsidR="00894759" w:rsidRPr="002E11E9" w:rsidRDefault="002E11E9" w:rsidP="002E11E9">
            <w:pPr>
              <w:jc w:val="center"/>
              <w:rPr>
                <w:sz w:val="16"/>
              </w:rPr>
            </w:pPr>
            <w:r w:rsidRPr="002E11E9">
              <w:rPr>
                <w:sz w:val="16"/>
              </w:rPr>
              <w:t>4</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Default="00894759" w:rsidP="008911B0">
            <w:pPr>
              <w:rPr>
                <w:sz w:val="16"/>
              </w:rPr>
            </w:pPr>
            <w:r>
              <w:rPr>
                <w:sz w:val="16"/>
              </w:rPr>
              <w:t>CCC (Slovenia)</w:t>
            </w:r>
          </w:p>
        </w:tc>
        <w:tc>
          <w:tcPr>
            <w:tcW w:w="627" w:type="pct"/>
            <w:vAlign w:val="center"/>
          </w:tcPr>
          <w:p w:rsidR="00894759" w:rsidRPr="002E11E9" w:rsidRDefault="004E341C" w:rsidP="002E11E9">
            <w:pPr>
              <w:jc w:val="center"/>
              <w:rPr>
                <w:sz w:val="16"/>
              </w:rPr>
            </w:pPr>
            <w:r w:rsidRPr="002E11E9">
              <w:rPr>
                <w:sz w:val="16"/>
              </w:rPr>
              <w:t>-</w:t>
            </w:r>
          </w:p>
        </w:tc>
        <w:tc>
          <w:tcPr>
            <w:tcW w:w="652" w:type="pct"/>
            <w:vAlign w:val="center"/>
          </w:tcPr>
          <w:p w:rsidR="00894759" w:rsidRPr="002E11E9" w:rsidRDefault="004E341C" w:rsidP="002E11E9">
            <w:pPr>
              <w:jc w:val="center"/>
              <w:rPr>
                <w:sz w:val="16"/>
              </w:rPr>
            </w:pPr>
            <w:r w:rsidRPr="002E11E9">
              <w:rPr>
                <w:sz w:val="16"/>
              </w:rPr>
              <w:t>-</w:t>
            </w:r>
          </w:p>
        </w:tc>
        <w:tc>
          <w:tcPr>
            <w:tcW w:w="674" w:type="pct"/>
            <w:vAlign w:val="center"/>
          </w:tcPr>
          <w:p w:rsidR="00894759" w:rsidRPr="002E11E9" w:rsidRDefault="002E11E9" w:rsidP="002E11E9">
            <w:pPr>
              <w:jc w:val="center"/>
              <w:rPr>
                <w:sz w:val="16"/>
              </w:rPr>
            </w:pPr>
            <w:r w:rsidRPr="002E11E9">
              <w:rPr>
                <w:sz w:val="16"/>
              </w:rPr>
              <w:t>2 294</w:t>
            </w:r>
          </w:p>
        </w:tc>
        <w:tc>
          <w:tcPr>
            <w:tcW w:w="779" w:type="pct"/>
            <w:vAlign w:val="center"/>
          </w:tcPr>
          <w:p w:rsidR="00894759" w:rsidRPr="002E11E9" w:rsidRDefault="002E11E9" w:rsidP="002E11E9">
            <w:pPr>
              <w:jc w:val="center"/>
              <w:rPr>
                <w:sz w:val="16"/>
              </w:rPr>
            </w:pPr>
            <w:r w:rsidRPr="002E11E9">
              <w:rPr>
                <w:sz w:val="16"/>
              </w:rPr>
              <w:t>4</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Default="00894759" w:rsidP="008911B0">
            <w:pPr>
              <w:rPr>
                <w:sz w:val="16"/>
              </w:rPr>
            </w:pPr>
            <w:r>
              <w:rPr>
                <w:sz w:val="16"/>
              </w:rPr>
              <w:t>CCC (Turkey)</w:t>
            </w:r>
          </w:p>
        </w:tc>
        <w:tc>
          <w:tcPr>
            <w:tcW w:w="627" w:type="pct"/>
            <w:vAlign w:val="center"/>
          </w:tcPr>
          <w:p w:rsidR="00894759" w:rsidRPr="002E11E9" w:rsidRDefault="004E341C" w:rsidP="002E11E9">
            <w:pPr>
              <w:jc w:val="center"/>
              <w:rPr>
                <w:sz w:val="16"/>
              </w:rPr>
            </w:pPr>
            <w:r w:rsidRPr="002E11E9">
              <w:rPr>
                <w:sz w:val="16"/>
              </w:rPr>
              <w:t>-</w:t>
            </w:r>
          </w:p>
        </w:tc>
        <w:tc>
          <w:tcPr>
            <w:tcW w:w="652" w:type="pct"/>
            <w:vAlign w:val="center"/>
          </w:tcPr>
          <w:p w:rsidR="00894759" w:rsidRPr="002E11E9" w:rsidRDefault="004E341C" w:rsidP="002E11E9">
            <w:pPr>
              <w:jc w:val="center"/>
              <w:rPr>
                <w:sz w:val="16"/>
              </w:rPr>
            </w:pPr>
            <w:r w:rsidRPr="002E11E9">
              <w:rPr>
                <w:sz w:val="16"/>
              </w:rPr>
              <w:t>-</w:t>
            </w:r>
          </w:p>
        </w:tc>
        <w:tc>
          <w:tcPr>
            <w:tcW w:w="674" w:type="pct"/>
            <w:vAlign w:val="center"/>
          </w:tcPr>
          <w:p w:rsidR="00894759" w:rsidRPr="002E11E9" w:rsidRDefault="002E11E9" w:rsidP="002E11E9">
            <w:pPr>
              <w:jc w:val="center"/>
              <w:rPr>
                <w:sz w:val="16"/>
              </w:rPr>
            </w:pPr>
            <w:r w:rsidRPr="002E11E9">
              <w:rPr>
                <w:sz w:val="16"/>
              </w:rPr>
              <w:t>1 165</w:t>
            </w:r>
          </w:p>
        </w:tc>
        <w:tc>
          <w:tcPr>
            <w:tcW w:w="779" w:type="pct"/>
            <w:vAlign w:val="center"/>
          </w:tcPr>
          <w:p w:rsidR="00894759" w:rsidRPr="002E11E9" w:rsidRDefault="002E11E9" w:rsidP="002E11E9">
            <w:pPr>
              <w:jc w:val="center"/>
              <w:rPr>
                <w:sz w:val="16"/>
              </w:rPr>
            </w:pPr>
            <w:r w:rsidRPr="002E11E9">
              <w:rPr>
                <w:sz w:val="16"/>
              </w:rPr>
              <w:t>2</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Pr="004B4CA1" w:rsidRDefault="00894759" w:rsidP="002E51CD">
            <w:pPr>
              <w:rPr>
                <w:sz w:val="16"/>
                <w:szCs w:val="16"/>
              </w:rPr>
            </w:pPr>
            <w:r>
              <w:rPr>
                <w:sz w:val="16"/>
              </w:rPr>
              <w:t>BOTI</w:t>
            </w:r>
          </w:p>
        </w:tc>
        <w:tc>
          <w:tcPr>
            <w:tcW w:w="627" w:type="pct"/>
            <w:vAlign w:val="center"/>
          </w:tcPr>
          <w:p w:rsidR="00894759" w:rsidRPr="002E11E9" w:rsidRDefault="004E341C" w:rsidP="002E11E9">
            <w:pPr>
              <w:jc w:val="center"/>
              <w:rPr>
                <w:sz w:val="16"/>
                <w:szCs w:val="16"/>
              </w:rPr>
            </w:pPr>
            <w:r w:rsidRPr="002E11E9">
              <w:rPr>
                <w:sz w:val="16"/>
              </w:rPr>
              <w:t>15 755</w:t>
            </w:r>
          </w:p>
        </w:tc>
        <w:tc>
          <w:tcPr>
            <w:tcW w:w="652" w:type="pct"/>
            <w:vAlign w:val="center"/>
          </w:tcPr>
          <w:p w:rsidR="00894759" w:rsidRPr="002E11E9" w:rsidRDefault="004E341C" w:rsidP="002E11E9">
            <w:pPr>
              <w:jc w:val="center"/>
              <w:rPr>
                <w:sz w:val="16"/>
              </w:rPr>
            </w:pPr>
            <w:r w:rsidRPr="002E11E9">
              <w:rPr>
                <w:sz w:val="16"/>
              </w:rPr>
              <w:t>113</w:t>
            </w:r>
          </w:p>
        </w:tc>
        <w:tc>
          <w:tcPr>
            <w:tcW w:w="674" w:type="pct"/>
            <w:vAlign w:val="center"/>
          </w:tcPr>
          <w:p w:rsidR="00894759" w:rsidRPr="002E11E9" w:rsidRDefault="004E341C" w:rsidP="002E11E9">
            <w:pPr>
              <w:jc w:val="center"/>
              <w:rPr>
                <w:sz w:val="16"/>
                <w:szCs w:val="16"/>
              </w:rPr>
            </w:pPr>
            <w:r w:rsidRPr="002E11E9">
              <w:rPr>
                <w:sz w:val="16"/>
              </w:rPr>
              <w:t>6 113</w:t>
            </w:r>
          </w:p>
        </w:tc>
        <w:tc>
          <w:tcPr>
            <w:tcW w:w="779" w:type="pct"/>
            <w:vAlign w:val="center"/>
          </w:tcPr>
          <w:p w:rsidR="00894759" w:rsidRPr="002E11E9" w:rsidRDefault="004E341C" w:rsidP="002E11E9">
            <w:pPr>
              <w:jc w:val="center"/>
              <w:rPr>
                <w:sz w:val="16"/>
              </w:rPr>
            </w:pPr>
            <w:r w:rsidRPr="002E11E9">
              <w:rPr>
                <w:sz w:val="16"/>
              </w:rPr>
              <w:t>43</w:t>
            </w:r>
          </w:p>
        </w:tc>
      </w:tr>
      <w:tr w:rsidR="00894759" w:rsidRPr="004B4CA1" w:rsidTr="002E11E9">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b/>
                <w:sz w:val="18"/>
                <w:szCs w:val="18"/>
              </w:rPr>
            </w:pPr>
          </w:p>
        </w:tc>
        <w:tc>
          <w:tcPr>
            <w:tcW w:w="1671" w:type="pct"/>
            <w:vAlign w:val="center"/>
          </w:tcPr>
          <w:p w:rsidR="00894759" w:rsidRPr="004B4CA1" w:rsidRDefault="00894759" w:rsidP="002E51CD">
            <w:pPr>
              <w:rPr>
                <w:sz w:val="16"/>
                <w:szCs w:val="16"/>
              </w:rPr>
            </w:pPr>
            <w:r>
              <w:rPr>
                <w:sz w:val="16"/>
              </w:rPr>
              <w:t>LASOCKI</w:t>
            </w:r>
          </w:p>
        </w:tc>
        <w:tc>
          <w:tcPr>
            <w:tcW w:w="627" w:type="pct"/>
            <w:vAlign w:val="center"/>
          </w:tcPr>
          <w:p w:rsidR="00894759" w:rsidRPr="002E11E9" w:rsidRDefault="004E341C" w:rsidP="002E11E9">
            <w:pPr>
              <w:jc w:val="center"/>
              <w:rPr>
                <w:sz w:val="16"/>
                <w:szCs w:val="16"/>
              </w:rPr>
            </w:pPr>
            <w:r w:rsidRPr="002E11E9">
              <w:rPr>
                <w:sz w:val="16"/>
              </w:rPr>
              <w:t>3 243</w:t>
            </w:r>
          </w:p>
        </w:tc>
        <w:tc>
          <w:tcPr>
            <w:tcW w:w="652" w:type="pct"/>
            <w:vAlign w:val="center"/>
          </w:tcPr>
          <w:p w:rsidR="00894759" w:rsidRPr="002E11E9" w:rsidRDefault="004E341C" w:rsidP="002E11E9">
            <w:pPr>
              <w:jc w:val="center"/>
              <w:rPr>
                <w:sz w:val="16"/>
              </w:rPr>
            </w:pPr>
            <w:r w:rsidRPr="002E11E9">
              <w:rPr>
                <w:sz w:val="16"/>
              </w:rPr>
              <w:t>25</w:t>
            </w:r>
          </w:p>
        </w:tc>
        <w:tc>
          <w:tcPr>
            <w:tcW w:w="674" w:type="pct"/>
            <w:vAlign w:val="center"/>
          </w:tcPr>
          <w:p w:rsidR="00894759" w:rsidRPr="002E11E9" w:rsidRDefault="004E341C" w:rsidP="002E11E9">
            <w:pPr>
              <w:jc w:val="center"/>
              <w:rPr>
                <w:iCs/>
                <w:sz w:val="16"/>
                <w:szCs w:val="16"/>
              </w:rPr>
            </w:pPr>
            <w:r w:rsidRPr="002E11E9">
              <w:rPr>
                <w:sz w:val="16"/>
              </w:rPr>
              <w:t>1 919</w:t>
            </w:r>
          </w:p>
        </w:tc>
        <w:tc>
          <w:tcPr>
            <w:tcW w:w="779" w:type="pct"/>
            <w:vAlign w:val="center"/>
          </w:tcPr>
          <w:p w:rsidR="00894759" w:rsidRPr="002E11E9" w:rsidRDefault="004E341C" w:rsidP="002E11E9">
            <w:pPr>
              <w:jc w:val="center"/>
              <w:rPr>
                <w:sz w:val="16"/>
              </w:rPr>
            </w:pPr>
            <w:r w:rsidRPr="002E11E9">
              <w:rPr>
                <w:sz w:val="16"/>
              </w:rPr>
              <w:t>15</w:t>
            </w:r>
          </w:p>
        </w:tc>
      </w:tr>
      <w:tr w:rsidR="00894759" w:rsidRPr="004B4CA1" w:rsidTr="002C6DAA">
        <w:trPr>
          <w:cantSplit/>
          <w:trHeight w:hRule="exact" w:val="284"/>
          <w:tblCellSpacing w:w="20" w:type="dxa"/>
          <w:jc w:val="center"/>
        </w:trPr>
        <w:tc>
          <w:tcPr>
            <w:tcW w:w="441" w:type="pct"/>
            <w:vMerge w:val="restart"/>
            <w:shd w:val="clear" w:color="auto" w:fill="D9D9D9" w:themeFill="background1" w:themeFillShade="D9"/>
            <w:textDirection w:val="btLr"/>
            <w:vAlign w:val="center"/>
          </w:tcPr>
          <w:p w:rsidR="00894759" w:rsidRPr="004B4CA1" w:rsidRDefault="00894759" w:rsidP="002E51CD">
            <w:pPr>
              <w:ind w:left="113" w:right="113"/>
              <w:jc w:val="center"/>
              <w:rPr>
                <w:rFonts w:cs="Arial"/>
                <w:b/>
                <w:sz w:val="18"/>
                <w:szCs w:val="18"/>
              </w:rPr>
            </w:pPr>
            <w:r>
              <w:rPr>
                <w:b/>
                <w:sz w:val="16"/>
              </w:rPr>
              <w:t>FRANCHISE</w:t>
            </w:r>
          </w:p>
        </w:tc>
        <w:tc>
          <w:tcPr>
            <w:tcW w:w="1671" w:type="pct"/>
            <w:vAlign w:val="center"/>
          </w:tcPr>
          <w:p w:rsidR="00894759" w:rsidRPr="004B4CA1" w:rsidRDefault="00894759" w:rsidP="002E51CD">
            <w:pPr>
              <w:rPr>
                <w:sz w:val="16"/>
                <w:szCs w:val="16"/>
              </w:rPr>
            </w:pPr>
            <w:r>
              <w:rPr>
                <w:sz w:val="16"/>
              </w:rPr>
              <w:t xml:space="preserve">CCC (Franchise PL) </w:t>
            </w:r>
          </w:p>
        </w:tc>
        <w:tc>
          <w:tcPr>
            <w:tcW w:w="627" w:type="pct"/>
            <w:vAlign w:val="center"/>
          </w:tcPr>
          <w:p w:rsidR="00894759" w:rsidRPr="004B4CA1" w:rsidRDefault="006C088D" w:rsidP="002C6DAA">
            <w:pPr>
              <w:jc w:val="center"/>
              <w:rPr>
                <w:sz w:val="16"/>
                <w:szCs w:val="16"/>
              </w:rPr>
            </w:pPr>
            <w:r>
              <w:rPr>
                <w:sz w:val="16"/>
              </w:rPr>
              <w:t>1 586</w:t>
            </w:r>
          </w:p>
        </w:tc>
        <w:tc>
          <w:tcPr>
            <w:tcW w:w="652" w:type="pct"/>
            <w:vAlign w:val="center"/>
          </w:tcPr>
          <w:p w:rsidR="00894759" w:rsidRDefault="006C088D" w:rsidP="002C6DAA">
            <w:pPr>
              <w:jc w:val="center"/>
              <w:rPr>
                <w:sz w:val="16"/>
              </w:rPr>
            </w:pPr>
            <w:r>
              <w:rPr>
                <w:sz w:val="16"/>
              </w:rPr>
              <w:t>8</w:t>
            </w:r>
          </w:p>
        </w:tc>
        <w:tc>
          <w:tcPr>
            <w:tcW w:w="674" w:type="pct"/>
            <w:vAlign w:val="center"/>
          </w:tcPr>
          <w:p w:rsidR="00894759" w:rsidRPr="004B4CA1" w:rsidRDefault="006C088D" w:rsidP="002C6DAA">
            <w:pPr>
              <w:jc w:val="center"/>
              <w:rPr>
                <w:sz w:val="16"/>
                <w:szCs w:val="16"/>
              </w:rPr>
            </w:pPr>
            <w:r>
              <w:rPr>
                <w:sz w:val="16"/>
              </w:rPr>
              <w:t>384</w:t>
            </w:r>
          </w:p>
        </w:tc>
        <w:tc>
          <w:tcPr>
            <w:tcW w:w="779" w:type="pct"/>
            <w:vAlign w:val="center"/>
          </w:tcPr>
          <w:p w:rsidR="00894759" w:rsidRDefault="006C088D" w:rsidP="002C6DAA">
            <w:pPr>
              <w:jc w:val="center"/>
              <w:rPr>
                <w:sz w:val="16"/>
              </w:rPr>
            </w:pPr>
            <w:r>
              <w:rPr>
                <w:sz w:val="16"/>
              </w:rPr>
              <w:t>2</w:t>
            </w:r>
          </w:p>
        </w:tc>
      </w:tr>
      <w:tr w:rsidR="00894759" w:rsidRPr="004B4CA1" w:rsidTr="002C6DAA">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sz w:val="18"/>
                <w:szCs w:val="18"/>
              </w:rPr>
            </w:pPr>
          </w:p>
        </w:tc>
        <w:tc>
          <w:tcPr>
            <w:tcW w:w="1671" w:type="pct"/>
            <w:vAlign w:val="center"/>
          </w:tcPr>
          <w:p w:rsidR="00894759" w:rsidRPr="004B4CA1" w:rsidRDefault="00894759" w:rsidP="002E51CD">
            <w:pPr>
              <w:rPr>
                <w:sz w:val="16"/>
                <w:szCs w:val="16"/>
              </w:rPr>
            </w:pPr>
            <w:r>
              <w:rPr>
                <w:sz w:val="16"/>
              </w:rPr>
              <w:t xml:space="preserve">CCC (Russia) </w:t>
            </w:r>
          </w:p>
        </w:tc>
        <w:tc>
          <w:tcPr>
            <w:tcW w:w="627" w:type="pct"/>
            <w:vAlign w:val="center"/>
          </w:tcPr>
          <w:p w:rsidR="00894759" w:rsidRPr="004B4CA1" w:rsidRDefault="00C9771D" w:rsidP="002C6DAA">
            <w:pPr>
              <w:jc w:val="center"/>
              <w:rPr>
                <w:sz w:val="16"/>
                <w:szCs w:val="16"/>
              </w:rPr>
            </w:pPr>
            <w:r>
              <w:rPr>
                <w:sz w:val="16"/>
              </w:rPr>
              <w:t>2 178</w:t>
            </w:r>
          </w:p>
        </w:tc>
        <w:tc>
          <w:tcPr>
            <w:tcW w:w="652" w:type="pct"/>
            <w:vAlign w:val="center"/>
          </w:tcPr>
          <w:p w:rsidR="00894759" w:rsidRDefault="00C9771D" w:rsidP="002C6DAA">
            <w:pPr>
              <w:jc w:val="center"/>
              <w:rPr>
                <w:sz w:val="16"/>
              </w:rPr>
            </w:pPr>
            <w:r>
              <w:rPr>
                <w:sz w:val="16"/>
              </w:rPr>
              <w:t>6</w:t>
            </w:r>
          </w:p>
        </w:tc>
        <w:tc>
          <w:tcPr>
            <w:tcW w:w="674" w:type="pct"/>
            <w:vAlign w:val="center"/>
          </w:tcPr>
          <w:p w:rsidR="00894759" w:rsidRPr="004B4CA1" w:rsidRDefault="00C9771D" w:rsidP="002C6DAA">
            <w:pPr>
              <w:jc w:val="center"/>
              <w:rPr>
                <w:sz w:val="16"/>
                <w:szCs w:val="16"/>
              </w:rPr>
            </w:pPr>
            <w:r>
              <w:rPr>
                <w:sz w:val="16"/>
              </w:rPr>
              <w:t>1 782</w:t>
            </w:r>
          </w:p>
        </w:tc>
        <w:tc>
          <w:tcPr>
            <w:tcW w:w="779" w:type="pct"/>
            <w:vAlign w:val="center"/>
          </w:tcPr>
          <w:p w:rsidR="00894759" w:rsidRDefault="00C9771D" w:rsidP="002C6DAA">
            <w:pPr>
              <w:jc w:val="center"/>
              <w:rPr>
                <w:sz w:val="16"/>
              </w:rPr>
            </w:pPr>
            <w:r>
              <w:rPr>
                <w:sz w:val="16"/>
              </w:rPr>
              <w:t>5</w:t>
            </w:r>
          </w:p>
        </w:tc>
      </w:tr>
      <w:tr w:rsidR="00894759" w:rsidRPr="004B4CA1" w:rsidTr="002C6DAA">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sz w:val="18"/>
                <w:szCs w:val="18"/>
              </w:rPr>
            </w:pPr>
          </w:p>
        </w:tc>
        <w:tc>
          <w:tcPr>
            <w:tcW w:w="1671" w:type="pct"/>
            <w:vAlign w:val="center"/>
          </w:tcPr>
          <w:p w:rsidR="00894759" w:rsidRPr="004B4CA1" w:rsidRDefault="00894759" w:rsidP="002E51CD">
            <w:pPr>
              <w:rPr>
                <w:sz w:val="16"/>
                <w:szCs w:val="16"/>
              </w:rPr>
            </w:pPr>
            <w:r>
              <w:rPr>
                <w:sz w:val="16"/>
              </w:rPr>
              <w:t xml:space="preserve">CCC (Latvia) </w:t>
            </w:r>
          </w:p>
        </w:tc>
        <w:tc>
          <w:tcPr>
            <w:tcW w:w="627" w:type="pct"/>
            <w:vAlign w:val="center"/>
          </w:tcPr>
          <w:p w:rsidR="00894759" w:rsidRPr="004B4CA1" w:rsidRDefault="00C9771D" w:rsidP="002C6DAA">
            <w:pPr>
              <w:jc w:val="center"/>
              <w:rPr>
                <w:sz w:val="16"/>
                <w:szCs w:val="16"/>
              </w:rPr>
            </w:pPr>
            <w:r>
              <w:rPr>
                <w:sz w:val="16"/>
              </w:rPr>
              <w:t>2 212</w:t>
            </w:r>
          </w:p>
        </w:tc>
        <w:tc>
          <w:tcPr>
            <w:tcW w:w="652" w:type="pct"/>
            <w:vAlign w:val="center"/>
          </w:tcPr>
          <w:p w:rsidR="00894759" w:rsidRDefault="00C9771D" w:rsidP="002C6DAA">
            <w:pPr>
              <w:jc w:val="center"/>
              <w:rPr>
                <w:sz w:val="16"/>
              </w:rPr>
            </w:pPr>
            <w:r>
              <w:rPr>
                <w:sz w:val="16"/>
              </w:rPr>
              <w:t>5</w:t>
            </w:r>
          </w:p>
        </w:tc>
        <w:tc>
          <w:tcPr>
            <w:tcW w:w="674" w:type="pct"/>
            <w:vAlign w:val="center"/>
          </w:tcPr>
          <w:p w:rsidR="00894759" w:rsidRPr="004B4CA1" w:rsidRDefault="00C9771D" w:rsidP="002C6DAA">
            <w:pPr>
              <w:jc w:val="center"/>
              <w:rPr>
                <w:sz w:val="16"/>
                <w:szCs w:val="16"/>
              </w:rPr>
            </w:pPr>
            <w:r>
              <w:rPr>
                <w:sz w:val="16"/>
              </w:rPr>
              <w:t>2 622</w:t>
            </w:r>
          </w:p>
        </w:tc>
        <w:tc>
          <w:tcPr>
            <w:tcW w:w="779" w:type="pct"/>
            <w:vAlign w:val="center"/>
          </w:tcPr>
          <w:p w:rsidR="00894759" w:rsidRDefault="00C9771D" w:rsidP="002C6DAA">
            <w:pPr>
              <w:jc w:val="center"/>
              <w:rPr>
                <w:sz w:val="16"/>
              </w:rPr>
            </w:pPr>
            <w:r>
              <w:rPr>
                <w:sz w:val="16"/>
              </w:rPr>
              <w:t>6</w:t>
            </w:r>
          </w:p>
        </w:tc>
      </w:tr>
      <w:tr w:rsidR="00894759" w:rsidRPr="004B4CA1" w:rsidTr="002C6DAA">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sz w:val="18"/>
                <w:szCs w:val="18"/>
              </w:rPr>
            </w:pPr>
          </w:p>
        </w:tc>
        <w:tc>
          <w:tcPr>
            <w:tcW w:w="1671" w:type="pct"/>
            <w:vAlign w:val="center"/>
          </w:tcPr>
          <w:p w:rsidR="00894759" w:rsidRPr="004B4CA1" w:rsidRDefault="00894759" w:rsidP="002E51CD">
            <w:pPr>
              <w:rPr>
                <w:sz w:val="16"/>
                <w:szCs w:val="16"/>
              </w:rPr>
            </w:pPr>
            <w:r>
              <w:rPr>
                <w:sz w:val="16"/>
              </w:rPr>
              <w:t>CCC (Romania)</w:t>
            </w:r>
          </w:p>
        </w:tc>
        <w:tc>
          <w:tcPr>
            <w:tcW w:w="627" w:type="pct"/>
            <w:vAlign w:val="center"/>
          </w:tcPr>
          <w:p w:rsidR="00894759" w:rsidRPr="004B4CA1" w:rsidRDefault="00C9771D" w:rsidP="002C6DAA">
            <w:pPr>
              <w:jc w:val="center"/>
              <w:rPr>
                <w:sz w:val="16"/>
                <w:szCs w:val="16"/>
              </w:rPr>
            </w:pPr>
            <w:r>
              <w:rPr>
                <w:sz w:val="16"/>
              </w:rPr>
              <w:t>5 371</w:t>
            </w:r>
          </w:p>
        </w:tc>
        <w:tc>
          <w:tcPr>
            <w:tcW w:w="652" w:type="pct"/>
            <w:vAlign w:val="center"/>
          </w:tcPr>
          <w:p w:rsidR="00894759" w:rsidRDefault="00C9771D" w:rsidP="002C6DAA">
            <w:pPr>
              <w:jc w:val="center"/>
              <w:rPr>
                <w:sz w:val="16"/>
              </w:rPr>
            </w:pPr>
            <w:r>
              <w:rPr>
                <w:sz w:val="16"/>
              </w:rPr>
              <w:t>13</w:t>
            </w:r>
          </w:p>
        </w:tc>
        <w:tc>
          <w:tcPr>
            <w:tcW w:w="674" w:type="pct"/>
            <w:vAlign w:val="center"/>
          </w:tcPr>
          <w:p w:rsidR="00894759" w:rsidRPr="004B4CA1" w:rsidRDefault="00C9771D" w:rsidP="002C6DAA">
            <w:pPr>
              <w:jc w:val="center"/>
              <w:rPr>
                <w:sz w:val="16"/>
                <w:szCs w:val="16"/>
              </w:rPr>
            </w:pPr>
            <w:r>
              <w:rPr>
                <w:sz w:val="16"/>
              </w:rPr>
              <w:t>9 607</w:t>
            </w:r>
          </w:p>
        </w:tc>
        <w:tc>
          <w:tcPr>
            <w:tcW w:w="779" w:type="pct"/>
            <w:vAlign w:val="center"/>
          </w:tcPr>
          <w:p w:rsidR="00894759" w:rsidRDefault="00C9771D" w:rsidP="002C6DAA">
            <w:pPr>
              <w:jc w:val="center"/>
              <w:rPr>
                <w:sz w:val="16"/>
              </w:rPr>
            </w:pPr>
            <w:r>
              <w:rPr>
                <w:sz w:val="16"/>
              </w:rPr>
              <w:t>23</w:t>
            </w:r>
          </w:p>
        </w:tc>
      </w:tr>
      <w:tr w:rsidR="00894759" w:rsidRPr="004B4CA1" w:rsidTr="002C6DAA">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sz w:val="18"/>
                <w:szCs w:val="18"/>
              </w:rPr>
            </w:pPr>
          </w:p>
        </w:tc>
        <w:tc>
          <w:tcPr>
            <w:tcW w:w="1671" w:type="pct"/>
            <w:vAlign w:val="center"/>
          </w:tcPr>
          <w:p w:rsidR="00894759" w:rsidRPr="004B4CA1" w:rsidRDefault="00894759" w:rsidP="002E51CD">
            <w:pPr>
              <w:rPr>
                <w:sz w:val="16"/>
                <w:szCs w:val="16"/>
              </w:rPr>
            </w:pPr>
            <w:r>
              <w:rPr>
                <w:sz w:val="16"/>
              </w:rPr>
              <w:t xml:space="preserve">CCC (Kazakhstan, Ukraine) </w:t>
            </w:r>
          </w:p>
        </w:tc>
        <w:tc>
          <w:tcPr>
            <w:tcW w:w="627" w:type="pct"/>
            <w:vAlign w:val="center"/>
          </w:tcPr>
          <w:p w:rsidR="00894759" w:rsidRPr="004B4CA1" w:rsidRDefault="00C9771D" w:rsidP="002C6DAA">
            <w:pPr>
              <w:jc w:val="center"/>
              <w:rPr>
                <w:sz w:val="16"/>
                <w:szCs w:val="16"/>
              </w:rPr>
            </w:pPr>
            <w:r>
              <w:rPr>
                <w:sz w:val="16"/>
              </w:rPr>
              <w:t>1 587</w:t>
            </w:r>
          </w:p>
        </w:tc>
        <w:tc>
          <w:tcPr>
            <w:tcW w:w="652" w:type="pct"/>
            <w:vAlign w:val="center"/>
          </w:tcPr>
          <w:p w:rsidR="00894759" w:rsidRDefault="00C9771D" w:rsidP="002C6DAA">
            <w:pPr>
              <w:jc w:val="center"/>
              <w:rPr>
                <w:sz w:val="16"/>
              </w:rPr>
            </w:pPr>
            <w:r>
              <w:rPr>
                <w:sz w:val="16"/>
              </w:rPr>
              <w:t>4</w:t>
            </w:r>
          </w:p>
        </w:tc>
        <w:tc>
          <w:tcPr>
            <w:tcW w:w="674" w:type="pct"/>
            <w:vAlign w:val="center"/>
          </w:tcPr>
          <w:p w:rsidR="00894759" w:rsidRPr="004B4CA1" w:rsidRDefault="00C9771D" w:rsidP="002C6DAA">
            <w:pPr>
              <w:jc w:val="center"/>
              <w:rPr>
                <w:sz w:val="16"/>
                <w:szCs w:val="16"/>
              </w:rPr>
            </w:pPr>
            <w:r>
              <w:rPr>
                <w:sz w:val="16"/>
              </w:rPr>
              <w:t>2 288</w:t>
            </w:r>
          </w:p>
        </w:tc>
        <w:tc>
          <w:tcPr>
            <w:tcW w:w="779" w:type="pct"/>
            <w:vAlign w:val="center"/>
          </w:tcPr>
          <w:p w:rsidR="00894759" w:rsidRDefault="00C9771D" w:rsidP="002C6DAA">
            <w:pPr>
              <w:jc w:val="center"/>
              <w:rPr>
                <w:sz w:val="16"/>
              </w:rPr>
            </w:pPr>
            <w:r>
              <w:rPr>
                <w:sz w:val="16"/>
              </w:rPr>
              <w:t>6</w:t>
            </w:r>
          </w:p>
        </w:tc>
      </w:tr>
      <w:tr w:rsidR="00894759" w:rsidRPr="004B4CA1" w:rsidTr="002C6DAA">
        <w:trPr>
          <w:cantSplit/>
          <w:trHeight w:hRule="exact" w:val="284"/>
          <w:tblCellSpacing w:w="20" w:type="dxa"/>
          <w:jc w:val="center"/>
        </w:trPr>
        <w:tc>
          <w:tcPr>
            <w:tcW w:w="441" w:type="pct"/>
            <w:vMerge/>
            <w:shd w:val="clear" w:color="auto" w:fill="D9D9D9" w:themeFill="background1" w:themeFillShade="D9"/>
            <w:vAlign w:val="center"/>
          </w:tcPr>
          <w:p w:rsidR="00894759" w:rsidRPr="004B4CA1" w:rsidRDefault="00894759" w:rsidP="002E51CD">
            <w:pPr>
              <w:rPr>
                <w:rFonts w:cs="Arial"/>
                <w:sz w:val="18"/>
                <w:szCs w:val="18"/>
              </w:rPr>
            </w:pPr>
          </w:p>
        </w:tc>
        <w:tc>
          <w:tcPr>
            <w:tcW w:w="1671" w:type="pct"/>
            <w:vAlign w:val="center"/>
          </w:tcPr>
          <w:p w:rsidR="00894759" w:rsidRPr="004B4CA1" w:rsidRDefault="00894759" w:rsidP="002E51CD">
            <w:pPr>
              <w:rPr>
                <w:sz w:val="16"/>
                <w:szCs w:val="16"/>
              </w:rPr>
            </w:pPr>
            <w:r>
              <w:rPr>
                <w:sz w:val="16"/>
              </w:rPr>
              <w:t xml:space="preserve">BOTI (Franchise PL) </w:t>
            </w:r>
          </w:p>
        </w:tc>
        <w:tc>
          <w:tcPr>
            <w:tcW w:w="627" w:type="pct"/>
            <w:vAlign w:val="center"/>
          </w:tcPr>
          <w:p w:rsidR="00894759" w:rsidRPr="004B4CA1" w:rsidRDefault="002C6DAA" w:rsidP="002C6DAA">
            <w:pPr>
              <w:jc w:val="center"/>
              <w:rPr>
                <w:sz w:val="16"/>
                <w:szCs w:val="16"/>
              </w:rPr>
            </w:pPr>
            <w:r>
              <w:rPr>
                <w:sz w:val="16"/>
              </w:rPr>
              <w:t>4 569</w:t>
            </w:r>
          </w:p>
        </w:tc>
        <w:tc>
          <w:tcPr>
            <w:tcW w:w="652" w:type="pct"/>
            <w:vAlign w:val="center"/>
          </w:tcPr>
          <w:p w:rsidR="00894759" w:rsidRDefault="002C6DAA" w:rsidP="002C6DAA">
            <w:pPr>
              <w:jc w:val="center"/>
              <w:rPr>
                <w:sz w:val="16"/>
              </w:rPr>
            </w:pPr>
            <w:r>
              <w:rPr>
                <w:sz w:val="16"/>
              </w:rPr>
              <w:t>37</w:t>
            </w:r>
          </w:p>
        </w:tc>
        <w:tc>
          <w:tcPr>
            <w:tcW w:w="674" w:type="pct"/>
            <w:vAlign w:val="center"/>
          </w:tcPr>
          <w:p w:rsidR="00894759" w:rsidRPr="004B4CA1" w:rsidRDefault="002C6DAA" w:rsidP="002C6DAA">
            <w:pPr>
              <w:jc w:val="center"/>
              <w:rPr>
                <w:sz w:val="16"/>
                <w:szCs w:val="16"/>
              </w:rPr>
            </w:pPr>
            <w:r>
              <w:rPr>
                <w:sz w:val="16"/>
              </w:rPr>
              <w:t>2 157</w:t>
            </w:r>
          </w:p>
        </w:tc>
        <w:tc>
          <w:tcPr>
            <w:tcW w:w="779" w:type="pct"/>
            <w:vAlign w:val="center"/>
          </w:tcPr>
          <w:p w:rsidR="00894759" w:rsidRDefault="002C6DAA" w:rsidP="002C6DAA">
            <w:pPr>
              <w:jc w:val="center"/>
              <w:rPr>
                <w:sz w:val="16"/>
              </w:rPr>
            </w:pPr>
            <w:r>
              <w:rPr>
                <w:sz w:val="16"/>
              </w:rPr>
              <w:t>16</w:t>
            </w:r>
          </w:p>
        </w:tc>
      </w:tr>
      <w:tr w:rsidR="00894759" w:rsidRPr="004B4CA1" w:rsidTr="002C6DAA">
        <w:trPr>
          <w:cantSplit/>
          <w:trHeight w:hRule="exact" w:val="397"/>
          <w:tblCellSpacing w:w="20" w:type="dxa"/>
          <w:jc w:val="center"/>
        </w:trPr>
        <w:tc>
          <w:tcPr>
            <w:tcW w:w="2134" w:type="pct"/>
            <w:gridSpan w:val="2"/>
            <w:shd w:val="clear" w:color="auto" w:fill="D9D9D9" w:themeFill="background1" w:themeFillShade="D9"/>
            <w:vAlign w:val="center"/>
          </w:tcPr>
          <w:p w:rsidR="00894759" w:rsidRPr="004B4CA1" w:rsidRDefault="00894759" w:rsidP="002E51CD">
            <w:pPr>
              <w:ind w:right="200"/>
              <w:jc w:val="right"/>
              <w:rPr>
                <w:rFonts w:cs="Arial"/>
                <w:b/>
                <w:sz w:val="18"/>
                <w:szCs w:val="18"/>
              </w:rPr>
            </w:pPr>
            <w:r>
              <w:rPr>
                <w:b/>
                <w:sz w:val="18"/>
              </w:rPr>
              <w:t>TOTAL</w:t>
            </w:r>
          </w:p>
        </w:tc>
        <w:tc>
          <w:tcPr>
            <w:tcW w:w="627" w:type="pct"/>
            <w:shd w:val="clear" w:color="auto" w:fill="D9D9D9" w:themeFill="background1" w:themeFillShade="D9"/>
            <w:vAlign w:val="center"/>
          </w:tcPr>
          <w:p w:rsidR="00894759" w:rsidRPr="004B4CA1" w:rsidRDefault="002C6DAA" w:rsidP="002C6DAA">
            <w:pPr>
              <w:jc w:val="center"/>
              <w:rPr>
                <w:b/>
                <w:sz w:val="16"/>
                <w:szCs w:val="16"/>
              </w:rPr>
            </w:pPr>
            <w:r>
              <w:rPr>
                <w:b/>
                <w:sz w:val="16"/>
              </w:rPr>
              <w:t>215 550</w:t>
            </w:r>
          </w:p>
        </w:tc>
        <w:tc>
          <w:tcPr>
            <w:tcW w:w="652" w:type="pct"/>
            <w:shd w:val="clear" w:color="auto" w:fill="D9D9D9" w:themeFill="background1" w:themeFillShade="D9"/>
            <w:vAlign w:val="center"/>
          </w:tcPr>
          <w:p w:rsidR="00894759" w:rsidRDefault="002C6DAA" w:rsidP="002C6DAA">
            <w:pPr>
              <w:jc w:val="center"/>
              <w:rPr>
                <w:b/>
                <w:sz w:val="16"/>
              </w:rPr>
            </w:pPr>
            <w:r>
              <w:rPr>
                <w:b/>
                <w:sz w:val="16"/>
              </w:rPr>
              <w:t>704</w:t>
            </w:r>
          </w:p>
        </w:tc>
        <w:tc>
          <w:tcPr>
            <w:tcW w:w="674" w:type="pct"/>
            <w:shd w:val="clear" w:color="auto" w:fill="D9D9D9" w:themeFill="background1" w:themeFillShade="D9"/>
            <w:vAlign w:val="center"/>
          </w:tcPr>
          <w:p w:rsidR="00894759" w:rsidRPr="004B4CA1" w:rsidRDefault="002C6DAA" w:rsidP="002C6DAA">
            <w:pPr>
              <w:jc w:val="center"/>
              <w:rPr>
                <w:b/>
                <w:sz w:val="16"/>
                <w:szCs w:val="16"/>
              </w:rPr>
            </w:pPr>
            <w:r>
              <w:rPr>
                <w:b/>
                <w:sz w:val="16"/>
              </w:rPr>
              <w:t>263 801</w:t>
            </w:r>
          </w:p>
        </w:tc>
        <w:tc>
          <w:tcPr>
            <w:tcW w:w="779" w:type="pct"/>
            <w:shd w:val="clear" w:color="auto" w:fill="D9D9D9" w:themeFill="background1" w:themeFillShade="D9"/>
            <w:vAlign w:val="center"/>
          </w:tcPr>
          <w:p w:rsidR="00894759" w:rsidRDefault="002C6DAA" w:rsidP="002C6DAA">
            <w:pPr>
              <w:jc w:val="center"/>
              <w:rPr>
                <w:b/>
                <w:sz w:val="16"/>
              </w:rPr>
            </w:pPr>
            <w:r>
              <w:rPr>
                <w:b/>
                <w:sz w:val="16"/>
              </w:rPr>
              <w:t>692</w:t>
            </w:r>
          </w:p>
        </w:tc>
      </w:tr>
    </w:tbl>
    <w:p w:rsidR="006E4264" w:rsidRPr="004B4CA1" w:rsidRDefault="006E4264" w:rsidP="00331772">
      <w:pPr>
        <w:pStyle w:val="Tekstpodstawowy"/>
        <w:jc w:val="both"/>
        <w:rPr>
          <w:b w:val="0"/>
        </w:rPr>
      </w:pPr>
    </w:p>
    <w:p w:rsidR="00331772" w:rsidRPr="004B4CA1" w:rsidRDefault="00331772" w:rsidP="00331772">
      <w:pPr>
        <w:pStyle w:val="Tekstpodstawowy"/>
        <w:jc w:val="both"/>
        <w:rPr>
          <w:b w:val="0"/>
        </w:rPr>
      </w:pPr>
      <w:r>
        <w:rPr>
          <w:b w:val="0"/>
        </w:rPr>
        <w:t xml:space="preserve">The retail space in own stores raised by </w:t>
      </w:r>
      <w:r w:rsidR="001F56AF">
        <w:rPr>
          <w:b w:val="0"/>
        </w:rPr>
        <w:t>23.7</w:t>
      </w:r>
      <w:r>
        <w:rPr>
          <w:b w:val="0"/>
        </w:rPr>
        <w:t xml:space="preserve">% and amounts to </w:t>
      </w:r>
      <w:r w:rsidR="005D76C0">
        <w:rPr>
          <w:b w:val="0"/>
        </w:rPr>
        <w:t xml:space="preserve">245,0 </w:t>
      </w:r>
      <w:r>
        <w:rPr>
          <w:b w:val="0"/>
        </w:rPr>
        <w:t xml:space="preserve">thousand </w:t>
      </w:r>
      <w:proofErr w:type="spellStart"/>
      <w:r w:rsidRPr="005D76C0">
        <w:rPr>
          <w:b w:val="0"/>
          <w:lang w:val="en-US"/>
        </w:rPr>
        <w:t>sqm</w:t>
      </w:r>
      <w:proofErr w:type="spellEnd"/>
      <w:r>
        <w:rPr>
          <w:b w:val="0"/>
        </w:rPr>
        <w:t xml:space="preserve"> as at 30.06.</w:t>
      </w:r>
      <w:r w:rsidR="006426A9">
        <w:rPr>
          <w:b w:val="0"/>
        </w:rPr>
        <w:t>2014</w:t>
      </w:r>
      <w:r w:rsidR="00EA3BB2">
        <w:rPr>
          <w:b w:val="0"/>
        </w:rPr>
        <w:t xml:space="preserve"> (including 159,8</w:t>
      </w:r>
      <w:r>
        <w:rPr>
          <w:b w:val="0"/>
        </w:rPr>
        <w:t xml:space="preserve"> thousand </w:t>
      </w:r>
      <w:proofErr w:type="spellStart"/>
      <w:r>
        <w:rPr>
          <w:b w:val="0"/>
        </w:rPr>
        <w:t>sqm</w:t>
      </w:r>
      <w:proofErr w:type="spellEnd"/>
      <w:r>
        <w:rPr>
          <w:b w:val="0"/>
        </w:rPr>
        <w:t xml:space="preserve"> in Poland) compared to </w:t>
      </w:r>
      <w:r w:rsidR="00EA3BB2">
        <w:rPr>
          <w:b w:val="0"/>
        </w:rPr>
        <w:t xml:space="preserve">198,0 </w:t>
      </w:r>
      <w:r>
        <w:rPr>
          <w:b w:val="0"/>
        </w:rPr>
        <w:t xml:space="preserve">thousand </w:t>
      </w:r>
      <w:proofErr w:type="spellStart"/>
      <w:r>
        <w:rPr>
          <w:b w:val="0"/>
        </w:rPr>
        <w:t>sqm</w:t>
      </w:r>
      <w:proofErr w:type="spellEnd"/>
      <w:r>
        <w:rPr>
          <w:b w:val="0"/>
        </w:rPr>
        <w:t xml:space="preserve"> as at 30.06.</w:t>
      </w:r>
      <w:r w:rsidR="00B26839">
        <w:rPr>
          <w:b w:val="0"/>
        </w:rPr>
        <w:t>2013</w:t>
      </w:r>
      <w:r>
        <w:rPr>
          <w:b w:val="0"/>
        </w:rPr>
        <w:t xml:space="preserve"> (including </w:t>
      </w:r>
      <w:r w:rsidR="00EA3BB2">
        <w:rPr>
          <w:b w:val="0"/>
        </w:rPr>
        <w:t>154,4</w:t>
      </w:r>
      <w:r>
        <w:rPr>
          <w:b w:val="0"/>
        </w:rPr>
        <w:t xml:space="preserve"> thousand </w:t>
      </w:r>
      <w:proofErr w:type="spellStart"/>
      <w:r>
        <w:rPr>
          <w:b w:val="0"/>
        </w:rPr>
        <w:t>sqm</w:t>
      </w:r>
      <w:proofErr w:type="spellEnd"/>
      <w:r>
        <w:rPr>
          <w:b w:val="0"/>
        </w:rPr>
        <w:t xml:space="preserve"> in Poland).</w:t>
      </w:r>
    </w:p>
    <w:p w:rsidR="0086492B" w:rsidRPr="004B4CA1" w:rsidRDefault="00331772" w:rsidP="00331772">
      <w:pPr>
        <w:pStyle w:val="Tekstpodstawowy"/>
        <w:jc w:val="both"/>
        <w:rPr>
          <w:b w:val="0"/>
        </w:rPr>
      </w:pPr>
      <w:r>
        <w:rPr>
          <w:b w:val="0"/>
        </w:rPr>
        <w:t xml:space="preserve">The retail space in franchise stores raised by </w:t>
      </w:r>
      <w:r w:rsidR="00EA3BB2">
        <w:rPr>
          <w:b w:val="0"/>
        </w:rPr>
        <w:t>7.4</w:t>
      </w:r>
      <w:r>
        <w:rPr>
          <w:b w:val="0"/>
        </w:rPr>
        <w:t xml:space="preserve">% and amounts to </w:t>
      </w:r>
      <w:r w:rsidR="00EA3BB2">
        <w:rPr>
          <w:b w:val="0"/>
        </w:rPr>
        <w:t>18,8</w:t>
      </w:r>
      <w:r>
        <w:rPr>
          <w:b w:val="0"/>
        </w:rPr>
        <w:t xml:space="preserve"> thousand </w:t>
      </w:r>
      <w:proofErr w:type="spellStart"/>
      <w:r>
        <w:rPr>
          <w:b w:val="0"/>
        </w:rPr>
        <w:t>sqm</w:t>
      </w:r>
      <w:proofErr w:type="spellEnd"/>
      <w:r>
        <w:rPr>
          <w:b w:val="0"/>
        </w:rPr>
        <w:t xml:space="preserve"> as at 30.06.</w:t>
      </w:r>
      <w:r w:rsidR="006426A9">
        <w:rPr>
          <w:b w:val="0"/>
        </w:rPr>
        <w:t>2014</w:t>
      </w:r>
      <w:r>
        <w:rPr>
          <w:b w:val="0"/>
        </w:rPr>
        <w:t xml:space="preserve"> (including </w:t>
      </w:r>
      <w:r w:rsidR="00AC3F1C">
        <w:rPr>
          <w:b w:val="0"/>
        </w:rPr>
        <w:t>2,5</w:t>
      </w:r>
      <w:r>
        <w:rPr>
          <w:b w:val="0"/>
        </w:rPr>
        <w:t xml:space="preserve"> thousand sqm in Poland) compared to </w:t>
      </w:r>
      <w:r w:rsidR="00AC3F1C">
        <w:rPr>
          <w:b w:val="0"/>
        </w:rPr>
        <w:t xml:space="preserve">17,5 </w:t>
      </w:r>
      <w:r>
        <w:rPr>
          <w:b w:val="0"/>
        </w:rPr>
        <w:t xml:space="preserve"> thousand </w:t>
      </w:r>
      <w:proofErr w:type="spellStart"/>
      <w:r>
        <w:rPr>
          <w:b w:val="0"/>
        </w:rPr>
        <w:t>sqm</w:t>
      </w:r>
      <w:proofErr w:type="spellEnd"/>
      <w:r>
        <w:rPr>
          <w:b w:val="0"/>
        </w:rPr>
        <w:t xml:space="preserve"> as at 30.06.</w:t>
      </w:r>
      <w:r w:rsidR="00B26839">
        <w:rPr>
          <w:b w:val="0"/>
        </w:rPr>
        <w:t>2013</w:t>
      </w:r>
      <w:r>
        <w:rPr>
          <w:b w:val="0"/>
        </w:rPr>
        <w:t xml:space="preserve"> (including </w:t>
      </w:r>
      <w:r w:rsidR="00AC3F1C">
        <w:rPr>
          <w:b w:val="0"/>
        </w:rPr>
        <w:t xml:space="preserve">6,2 </w:t>
      </w:r>
      <w:r>
        <w:rPr>
          <w:b w:val="0"/>
        </w:rPr>
        <w:t xml:space="preserve"> thousand </w:t>
      </w:r>
      <w:proofErr w:type="spellStart"/>
      <w:r>
        <w:rPr>
          <w:b w:val="0"/>
        </w:rPr>
        <w:t>sqm</w:t>
      </w:r>
      <w:proofErr w:type="spellEnd"/>
      <w:r>
        <w:rPr>
          <w:b w:val="0"/>
        </w:rPr>
        <w:t xml:space="preserve"> in Poland).</w:t>
      </w:r>
    </w:p>
    <w:p w:rsidR="00E1292A" w:rsidRPr="004B4CA1" w:rsidRDefault="00E1292A">
      <w:pPr>
        <w:spacing w:after="200" w:line="276" w:lineRule="auto"/>
      </w:pPr>
      <w:r>
        <w:br w:type="page"/>
      </w:r>
    </w:p>
    <w:p w:rsidR="00DE3F49" w:rsidRPr="004B4CA1" w:rsidRDefault="00E1292A" w:rsidP="00E1292A">
      <w:pPr>
        <w:ind w:left="709" w:hanging="567"/>
        <w:rPr>
          <w:b/>
        </w:rPr>
      </w:pPr>
      <w:r>
        <w:rPr>
          <w:b/>
        </w:rPr>
        <w:lastRenderedPageBreak/>
        <w:t>3.</w:t>
      </w:r>
      <w:r>
        <w:tab/>
      </w:r>
      <w:r>
        <w:rPr>
          <w:b/>
        </w:rPr>
        <w:t>The discussion of the basic economic and financial results (...) (cont.)</w:t>
      </w:r>
    </w:p>
    <w:p w:rsidR="00E1292A" w:rsidRPr="004B4CA1" w:rsidRDefault="00E1292A" w:rsidP="00DE3F49"/>
    <w:p w:rsidR="00E1292A" w:rsidRPr="004B4CA1" w:rsidRDefault="00421BAF" w:rsidP="00A63121">
      <w:pPr>
        <w:pStyle w:val="dAREK1"/>
      </w:pPr>
      <w:r>
        <w:t xml:space="preserve">The following tables present the basic economic and financial results and ratios of the CCC S.A. Capital Group achieved in </w:t>
      </w:r>
      <w:r w:rsidR="00AC3F1C">
        <w:t>2014</w:t>
      </w:r>
      <w:r>
        <w:t>-</w:t>
      </w:r>
      <w:r w:rsidR="00AC3F1C">
        <w:t>2013</w:t>
      </w:r>
      <w:r>
        <w:t>.</w:t>
      </w:r>
    </w:p>
    <w:p w:rsidR="00E1292A" w:rsidRPr="004B4CA1" w:rsidRDefault="00E1292A" w:rsidP="00A63121">
      <w:pPr>
        <w:pStyle w:val="dAREK1"/>
      </w:pPr>
    </w:p>
    <w:p w:rsidR="001756DE" w:rsidRPr="004B4CA1" w:rsidRDefault="001756DE" w:rsidP="00A63121">
      <w:pPr>
        <w:pStyle w:val="dAREK1"/>
      </w:pPr>
    </w:p>
    <w:p w:rsidR="00E1292A" w:rsidRPr="004B4CA1" w:rsidRDefault="00E1292A" w:rsidP="00E1292A">
      <w:pPr>
        <w:pStyle w:val="Legenda"/>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4</w:t>
      </w:r>
      <w:r w:rsidR="000418D6" w:rsidRPr="004B4CA1">
        <w:rPr>
          <w:noProof/>
        </w:rPr>
        <w:fldChar w:fldCharType="end"/>
      </w:r>
      <w:r>
        <w:t xml:space="preserve">. Financial results achieved in 2Q </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514"/>
        <w:gridCol w:w="1748"/>
        <w:gridCol w:w="1901"/>
        <w:gridCol w:w="1443"/>
      </w:tblGrid>
      <w:tr w:rsidR="00D3216D" w:rsidRPr="004B4CA1" w:rsidTr="00AC3F1C">
        <w:trPr>
          <w:cantSplit/>
          <w:trHeight w:hRule="exact" w:val="813"/>
          <w:tblCellSpacing w:w="20" w:type="dxa"/>
          <w:jc w:val="center"/>
        </w:trPr>
        <w:tc>
          <w:tcPr>
            <w:tcW w:w="2319" w:type="pct"/>
            <w:tcBorders>
              <w:bottom w:val="outset" w:sz="6" w:space="0" w:color="auto"/>
            </w:tcBorders>
            <w:shd w:val="clear" w:color="auto" w:fill="D9D9D9" w:themeFill="background1" w:themeFillShade="D9"/>
            <w:vAlign w:val="center"/>
          </w:tcPr>
          <w:p w:rsidR="00D3216D" w:rsidRPr="004B4CA1" w:rsidRDefault="00D3216D" w:rsidP="00E15BC4">
            <w:pPr>
              <w:keepNext/>
              <w:keepLines/>
              <w:autoSpaceDE w:val="0"/>
              <w:autoSpaceDN w:val="0"/>
              <w:adjustRightInd w:val="0"/>
              <w:jc w:val="center"/>
              <w:rPr>
                <w:rFonts w:cs="Arial"/>
                <w:b/>
                <w:bCs/>
                <w:sz w:val="18"/>
                <w:szCs w:val="20"/>
              </w:rPr>
            </w:pPr>
          </w:p>
        </w:tc>
        <w:tc>
          <w:tcPr>
            <w:tcW w:w="889" w:type="pct"/>
            <w:tcBorders>
              <w:bottom w:val="outset" w:sz="6" w:space="0" w:color="auto"/>
            </w:tcBorders>
            <w:shd w:val="clear" w:color="auto" w:fill="D9D9D9" w:themeFill="background1" w:themeFillShade="D9"/>
            <w:vAlign w:val="center"/>
          </w:tcPr>
          <w:p w:rsidR="004B4CA1" w:rsidRDefault="00D3216D" w:rsidP="004B4CA1">
            <w:pPr>
              <w:keepNext/>
              <w:keepLines/>
              <w:autoSpaceDE w:val="0"/>
              <w:autoSpaceDN w:val="0"/>
              <w:adjustRightInd w:val="0"/>
              <w:jc w:val="center"/>
              <w:rPr>
                <w:rFonts w:cs="Arial"/>
                <w:b/>
                <w:bCs/>
                <w:sz w:val="18"/>
                <w:szCs w:val="20"/>
              </w:rPr>
            </w:pPr>
            <w:r>
              <w:rPr>
                <w:b/>
                <w:sz w:val="18"/>
              </w:rPr>
              <w:t xml:space="preserve">2Q </w:t>
            </w:r>
            <w:r w:rsidR="006426A9">
              <w:rPr>
                <w:b/>
                <w:sz w:val="18"/>
              </w:rPr>
              <w:t>2014</w:t>
            </w:r>
          </w:p>
          <w:p w:rsidR="00D3216D" w:rsidRPr="004B4CA1" w:rsidRDefault="00D3216D" w:rsidP="00B36D0F">
            <w:pPr>
              <w:keepNext/>
              <w:keepLines/>
              <w:autoSpaceDE w:val="0"/>
              <w:autoSpaceDN w:val="0"/>
              <w:adjustRightInd w:val="0"/>
              <w:jc w:val="center"/>
              <w:rPr>
                <w:rFonts w:cs="Arial"/>
                <w:b/>
                <w:bCs/>
                <w:sz w:val="18"/>
                <w:szCs w:val="20"/>
              </w:rPr>
            </w:pPr>
            <w:r>
              <w:rPr>
                <w:b/>
                <w:sz w:val="18"/>
              </w:rPr>
              <w:t>(</w:t>
            </w:r>
            <w:r w:rsidR="00B36D0F">
              <w:rPr>
                <w:b/>
                <w:sz w:val="18"/>
              </w:rPr>
              <w:t xml:space="preserve">thousand </w:t>
            </w:r>
            <w:r>
              <w:rPr>
                <w:b/>
                <w:sz w:val="18"/>
              </w:rPr>
              <w:t>PLN)</w:t>
            </w:r>
          </w:p>
        </w:tc>
        <w:tc>
          <w:tcPr>
            <w:tcW w:w="968" w:type="pct"/>
            <w:tcBorders>
              <w:bottom w:val="outset" w:sz="6" w:space="0" w:color="auto"/>
            </w:tcBorders>
            <w:shd w:val="clear" w:color="auto" w:fill="D9D9D9" w:themeFill="background1" w:themeFillShade="D9"/>
            <w:vAlign w:val="center"/>
          </w:tcPr>
          <w:p w:rsidR="004B4CA1" w:rsidRDefault="00D3216D" w:rsidP="004B4CA1">
            <w:pPr>
              <w:keepNext/>
              <w:keepLines/>
              <w:autoSpaceDE w:val="0"/>
              <w:autoSpaceDN w:val="0"/>
              <w:adjustRightInd w:val="0"/>
              <w:jc w:val="center"/>
              <w:rPr>
                <w:rFonts w:cs="Arial"/>
                <w:b/>
                <w:bCs/>
                <w:sz w:val="18"/>
                <w:szCs w:val="20"/>
              </w:rPr>
            </w:pPr>
            <w:r>
              <w:rPr>
                <w:b/>
                <w:sz w:val="18"/>
              </w:rPr>
              <w:t xml:space="preserve">2Q </w:t>
            </w:r>
            <w:r w:rsidR="00B26839">
              <w:rPr>
                <w:b/>
                <w:sz w:val="18"/>
              </w:rPr>
              <w:t>2013</w:t>
            </w:r>
          </w:p>
          <w:p w:rsidR="00D3216D" w:rsidRPr="004B4CA1" w:rsidRDefault="00D3216D" w:rsidP="00B36D0F">
            <w:pPr>
              <w:keepNext/>
              <w:keepLines/>
              <w:autoSpaceDE w:val="0"/>
              <w:autoSpaceDN w:val="0"/>
              <w:adjustRightInd w:val="0"/>
              <w:jc w:val="center"/>
              <w:rPr>
                <w:rFonts w:cs="Arial"/>
                <w:b/>
                <w:bCs/>
                <w:sz w:val="18"/>
                <w:szCs w:val="20"/>
              </w:rPr>
            </w:pPr>
            <w:r>
              <w:rPr>
                <w:b/>
                <w:sz w:val="18"/>
              </w:rPr>
              <w:t>(</w:t>
            </w:r>
            <w:r w:rsidR="00B36D0F">
              <w:rPr>
                <w:b/>
                <w:sz w:val="18"/>
              </w:rPr>
              <w:t xml:space="preserve">thousand </w:t>
            </w:r>
            <w:r>
              <w:rPr>
                <w:b/>
                <w:sz w:val="18"/>
              </w:rPr>
              <w:t>PLN)</w:t>
            </w:r>
          </w:p>
        </w:tc>
        <w:tc>
          <w:tcPr>
            <w:tcW w:w="720" w:type="pct"/>
            <w:tcBorders>
              <w:bottom w:val="outset" w:sz="6" w:space="0" w:color="auto"/>
            </w:tcBorders>
            <w:shd w:val="clear" w:color="auto" w:fill="D9D9D9" w:themeFill="background1" w:themeFillShade="D9"/>
            <w:vAlign w:val="center"/>
          </w:tcPr>
          <w:p w:rsidR="00D3216D" w:rsidRPr="004B4CA1" w:rsidRDefault="00B36D0F" w:rsidP="00E15BC4">
            <w:pPr>
              <w:keepNext/>
              <w:keepLines/>
              <w:autoSpaceDE w:val="0"/>
              <w:autoSpaceDN w:val="0"/>
              <w:adjustRightInd w:val="0"/>
              <w:jc w:val="center"/>
              <w:rPr>
                <w:rFonts w:cs="Arial"/>
                <w:b/>
                <w:bCs/>
                <w:sz w:val="18"/>
                <w:szCs w:val="20"/>
              </w:rPr>
            </w:pPr>
            <w:r>
              <w:rPr>
                <w:b/>
                <w:sz w:val="18"/>
              </w:rPr>
              <w:t>%</w:t>
            </w:r>
            <w:r w:rsidR="00D3216D">
              <w:rPr>
                <w:b/>
                <w:sz w:val="18"/>
              </w:rPr>
              <w:t xml:space="preserve"> change</w:t>
            </w:r>
          </w:p>
        </w:tc>
      </w:tr>
      <w:tr w:rsidR="00AC3F1C" w:rsidRPr="004B4CA1" w:rsidTr="00AC3F1C">
        <w:trPr>
          <w:cantSplit/>
          <w:trHeight w:hRule="exact" w:val="397"/>
          <w:tblCellSpacing w:w="20" w:type="dxa"/>
          <w:jc w:val="center"/>
        </w:trPr>
        <w:tc>
          <w:tcPr>
            <w:tcW w:w="2319" w:type="pct"/>
            <w:vAlign w:val="center"/>
          </w:tcPr>
          <w:p w:rsidR="00AC3F1C" w:rsidRPr="004B4CA1" w:rsidRDefault="00B36D0F" w:rsidP="00B36D0F">
            <w:pPr>
              <w:rPr>
                <w:rFonts w:cs="Arial"/>
                <w:b/>
                <w:i/>
                <w:color w:val="000000"/>
                <w:sz w:val="18"/>
                <w:szCs w:val="18"/>
              </w:rPr>
            </w:pPr>
            <w:r>
              <w:rPr>
                <w:b/>
                <w:i/>
                <w:color w:val="000000"/>
                <w:sz w:val="18"/>
              </w:rPr>
              <w:t>Sales p</w:t>
            </w:r>
            <w:r w:rsidR="00AC3F1C">
              <w:rPr>
                <w:b/>
                <w:i/>
                <w:color w:val="000000"/>
                <w:sz w:val="18"/>
              </w:rPr>
              <w:t xml:space="preserve">rofit </w:t>
            </w:r>
          </w:p>
        </w:tc>
        <w:tc>
          <w:tcPr>
            <w:tcW w:w="889" w:type="pct"/>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496,</w:t>
            </w:r>
            <w:r w:rsidR="00AC3F1C">
              <w:rPr>
                <w:rFonts w:cs="Arial"/>
                <w:b/>
                <w:bCs/>
                <w:i/>
                <w:iCs/>
                <w:color w:val="000000"/>
                <w:sz w:val="18"/>
                <w:szCs w:val="18"/>
              </w:rPr>
              <w:t>951</w:t>
            </w:r>
          </w:p>
        </w:tc>
        <w:tc>
          <w:tcPr>
            <w:tcW w:w="968" w:type="pct"/>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422,</w:t>
            </w:r>
            <w:r w:rsidR="00AC3F1C">
              <w:rPr>
                <w:rFonts w:cs="Arial"/>
                <w:b/>
                <w:bCs/>
                <w:i/>
                <w:iCs/>
                <w:color w:val="000000"/>
                <w:sz w:val="18"/>
                <w:szCs w:val="18"/>
              </w:rPr>
              <w:t>336</w:t>
            </w:r>
          </w:p>
        </w:tc>
        <w:tc>
          <w:tcPr>
            <w:tcW w:w="720" w:type="pct"/>
            <w:vAlign w:val="center"/>
          </w:tcPr>
          <w:p w:rsidR="00AC3F1C" w:rsidRDefault="000A7A9F" w:rsidP="002A4F37">
            <w:pPr>
              <w:jc w:val="right"/>
              <w:rPr>
                <w:rFonts w:cs="Arial"/>
                <w:b/>
                <w:bCs/>
                <w:i/>
                <w:iCs/>
                <w:color w:val="000000"/>
                <w:sz w:val="18"/>
                <w:szCs w:val="18"/>
              </w:rPr>
            </w:pPr>
            <w:r>
              <w:rPr>
                <w:rFonts w:cs="Arial"/>
                <w:b/>
                <w:bCs/>
                <w:i/>
                <w:iCs/>
                <w:color w:val="000000"/>
                <w:sz w:val="18"/>
                <w:szCs w:val="18"/>
              </w:rPr>
              <w:t>17</w:t>
            </w:r>
            <w:r w:rsidR="00E31482">
              <w:rPr>
                <w:rFonts w:cs="Arial"/>
                <w:b/>
                <w:bCs/>
                <w:i/>
                <w:iCs/>
                <w:color w:val="000000"/>
                <w:sz w:val="18"/>
                <w:szCs w:val="18"/>
              </w:rPr>
              <w:t>.</w:t>
            </w:r>
            <w:r w:rsidR="00AC3F1C">
              <w:rPr>
                <w:rFonts w:cs="Arial"/>
                <w:b/>
                <w:bCs/>
                <w:i/>
                <w:iCs/>
                <w:color w:val="000000"/>
                <w:sz w:val="18"/>
                <w:szCs w:val="18"/>
              </w:rPr>
              <w:t>7%</w:t>
            </w:r>
          </w:p>
        </w:tc>
      </w:tr>
      <w:tr w:rsidR="00AC3F1C" w:rsidRPr="004B4CA1" w:rsidTr="00AC3F1C">
        <w:trPr>
          <w:cantSplit/>
          <w:trHeight w:hRule="exact" w:val="581"/>
          <w:tblCellSpacing w:w="20" w:type="dxa"/>
          <w:jc w:val="center"/>
        </w:trPr>
        <w:tc>
          <w:tcPr>
            <w:tcW w:w="2319" w:type="pct"/>
            <w:vAlign w:val="center"/>
          </w:tcPr>
          <w:p w:rsidR="00AC3F1C" w:rsidRPr="004B4CA1" w:rsidRDefault="00AC3F1C" w:rsidP="00E15BC4">
            <w:pPr>
              <w:rPr>
                <w:rFonts w:cs="Arial"/>
                <w:color w:val="000000"/>
                <w:sz w:val="18"/>
                <w:szCs w:val="18"/>
              </w:rPr>
            </w:pPr>
            <w:r>
              <w:rPr>
                <w:color w:val="000000"/>
                <w:sz w:val="18"/>
              </w:rPr>
              <w:t>Manufacturing cost of products, goods and services sold</w:t>
            </w:r>
          </w:p>
        </w:tc>
        <w:tc>
          <w:tcPr>
            <w:tcW w:w="889" w:type="pct"/>
            <w:vAlign w:val="center"/>
          </w:tcPr>
          <w:p w:rsidR="00AC3F1C" w:rsidRDefault="00D96C8D" w:rsidP="002A4F37">
            <w:pPr>
              <w:jc w:val="right"/>
              <w:rPr>
                <w:rFonts w:cs="Arial"/>
                <w:color w:val="FF0000"/>
                <w:sz w:val="18"/>
                <w:szCs w:val="18"/>
              </w:rPr>
            </w:pPr>
            <w:r>
              <w:rPr>
                <w:rFonts w:cs="Arial"/>
                <w:color w:val="FF0000"/>
                <w:sz w:val="18"/>
                <w:szCs w:val="18"/>
              </w:rPr>
              <w:t>-209,</w:t>
            </w:r>
            <w:r w:rsidR="00AC3F1C">
              <w:rPr>
                <w:rFonts w:cs="Arial"/>
                <w:color w:val="FF0000"/>
                <w:sz w:val="18"/>
                <w:szCs w:val="18"/>
              </w:rPr>
              <w:t>773</w:t>
            </w:r>
          </w:p>
        </w:tc>
        <w:tc>
          <w:tcPr>
            <w:tcW w:w="968" w:type="pct"/>
            <w:vAlign w:val="center"/>
          </w:tcPr>
          <w:p w:rsidR="00AC3F1C" w:rsidRDefault="00D96C8D" w:rsidP="002A4F37">
            <w:pPr>
              <w:jc w:val="right"/>
              <w:rPr>
                <w:rFonts w:cs="Arial"/>
                <w:color w:val="FF0000"/>
                <w:sz w:val="18"/>
                <w:szCs w:val="18"/>
              </w:rPr>
            </w:pPr>
            <w:r>
              <w:rPr>
                <w:rFonts w:cs="Arial"/>
                <w:color w:val="FF0000"/>
                <w:sz w:val="18"/>
                <w:szCs w:val="18"/>
              </w:rPr>
              <w:t>-189,</w:t>
            </w:r>
            <w:r w:rsidR="00AC3F1C">
              <w:rPr>
                <w:rFonts w:cs="Arial"/>
                <w:color w:val="FF0000"/>
                <w:sz w:val="18"/>
                <w:szCs w:val="18"/>
              </w:rPr>
              <w:t>307</w:t>
            </w:r>
          </w:p>
        </w:tc>
        <w:tc>
          <w:tcPr>
            <w:tcW w:w="720" w:type="pct"/>
            <w:vAlign w:val="center"/>
          </w:tcPr>
          <w:p w:rsidR="00AC3F1C" w:rsidRDefault="00AC3F1C" w:rsidP="002A4F37">
            <w:pPr>
              <w:jc w:val="right"/>
              <w:rPr>
                <w:rFonts w:cs="Arial"/>
                <w:color w:val="000000"/>
                <w:sz w:val="18"/>
                <w:szCs w:val="18"/>
              </w:rPr>
            </w:pPr>
            <w:r>
              <w:rPr>
                <w:rFonts w:cs="Arial"/>
                <w:color w:val="000000"/>
                <w:sz w:val="18"/>
                <w:szCs w:val="18"/>
              </w:rPr>
              <w:t> </w:t>
            </w:r>
          </w:p>
        </w:tc>
      </w:tr>
      <w:tr w:rsidR="00AC3F1C" w:rsidRPr="004B4CA1" w:rsidTr="00AC3F1C">
        <w:trPr>
          <w:cantSplit/>
          <w:trHeight w:hRule="exact" w:val="397"/>
          <w:tblCellSpacing w:w="20" w:type="dxa"/>
          <w:jc w:val="center"/>
        </w:trPr>
        <w:tc>
          <w:tcPr>
            <w:tcW w:w="2319" w:type="pct"/>
            <w:shd w:val="clear" w:color="auto" w:fill="D9D9D9" w:themeFill="background1" w:themeFillShade="D9"/>
            <w:vAlign w:val="center"/>
          </w:tcPr>
          <w:p w:rsidR="00AC3F1C" w:rsidRPr="004B4CA1" w:rsidRDefault="00AC3F1C" w:rsidP="00E15BC4">
            <w:pPr>
              <w:rPr>
                <w:rFonts w:cs="Arial"/>
                <w:b/>
                <w:i/>
                <w:color w:val="000000"/>
                <w:sz w:val="18"/>
                <w:szCs w:val="18"/>
              </w:rPr>
            </w:pPr>
            <w:r>
              <w:rPr>
                <w:b/>
                <w:i/>
                <w:color w:val="000000"/>
                <w:sz w:val="18"/>
              </w:rPr>
              <w:t>Gross sales profit</w:t>
            </w:r>
          </w:p>
        </w:tc>
        <w:tc>
          <w:tcPr>
            <w:tcW w:w="889"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287,</w:t>
            </w:r>
            <w:r w:rsidR="00AC3F1C">
              <w:rPr>
                <w:rFonts w:cs="Arial"/>
                <w:b/>
                <w:bCs/>
                <w:i/>
                <w:iCs/>
                <w:color w:val="000000"/>
                <w:sz w:val="18"/>
                <w:szCs w:val="18"/>
              </w:rPr>
              <w:t>178</w:t>
            </w:r>
          </w:p>
        </w:tc>
        <w:tc>
          <w:tcPr>
            <w:tcW w:w="968"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233,</w:t>
            </w:r>
            <w:r w:rsidR="00AC3F1C">
              <w:rPr>
                <w:rFonts w:cs="Arial"/>
                <w:b/>
                <w:bCs/>
                <w:i/>
                <w:iCs/>
                <w:color w:val="000000"/>
                <w:sz w:val="18"/>
                <w:szCs w:val="18"/>
              </w:rPr>
              <w:t>029</w:t>
            </w:r>
          </w:p>
        </w:tc>
        <w:tc>
          <w:tcPr>
            <w:tcW w:w="720" w:type="pct"/>
            <w:shd w:val="clear" w:color="auto" w:fill="D9D9D9" w:themeFill="background1" w:themeFillShade="D9"/>
            <w:vAlign w:val="center"/>
          </w:tcPr>
          <w:p w:rsidR="00AC3F1C" w:rsidRDefault="000A7A9F" w:rsidP="002A4F37">
            <w:pPr>
              <w:jc w:val="right"/>
              <w:rPr>
                <w:rFonts w:cs="Arial"/>
                <w:b/>
                <w:bCs/>
                <w:i/>
                <w:iCs/>
                <w:color w:val="000000"/>
                <w:sz w:val="18"/>
                <w:szCs w:val="18"/>
              </w:rPr>
            </w:pPr>
            <w:r>
              <w:rPr>
                <w:rFonts w:cs="Arial"/>
                <w:b/>
                <w:bCs/>
                <w:i/>
                <w:iCs/>
                <w:color w:val="000000"/>
                <w:sz w:val="18"/>
                <w:szCs w:val="18"/>
              </w:rPr>
              <w:t>23</w:t>
            </w:r>
            <w:r w:rsidR="00E31482">
              <w:rPr>
                <w:rFonts w:cs="Arial"/>
                <w:b/>
                <w:bCs/>
                <w:i/>
                <w:iCs/>
                <w:color w:val="000000"/>
                <w:sz w:val="18"/>
                <w:szCs w:val="18"/>
              </w:rPr>
              <w:t>.</w:t>
            </w:r>
            <w:r w:rsidR="00AC3F1C">
              <w:rPr>
                <w:rFonts w:cs="Arial"/>
                <w:b/>
                <w:bCs/>
                <w:i/>
                <w:iCs/>
                <w:color w:val="000000"/>
                <w:sz w:val="18"/>
                <w:szCs w:val="18"/>
              </w:rPr>
              <w:t>2%</w:t>
            </w:r>
          </w:p>
        </w:tc>
      </w:tr>
      <w:tr w:rsidR="00AC3F1C" w:rsidRPr="004B4CA1" w:rsidTr="00AC3F1C">
        <w:trPr>
          <w:cantSplit/>
          <w:trHeight w:hRule="exact" w:val="397"/>
          <w:tblCellSpacing w:w="20" w:type="dxa"/>
          <w:jc w:val="center"/>
        </w:trPr>
        <w:tc>
          <w:tcPr>
            <w:tcW w:w="2319" w:type="pct"/>
            <w:vAlign w:val="center"/>
          </w:tcPr>
          <w:p w:rsidR="00AC3F1C" w:rsidRPr="004B4CA1" w:rsidRDefault="00AC3F1C" w:rsidP="00E15BC4">
            <w:pPr>
              <w:rPr>
                <w:rFonts w:cs="Arial"/>
                <w:i/>
                <w:color w:val="000000"/>
                <w:sz w:val="18"/>
                <w:szCs w:val="18"/>
              </w:rPr>
            </w:pPr>
            <w:r>
              <w:rPr>
                <w:i/>
                <w:color w:val="000000"/>
                <w:sz w:val="18"/>
              </w:rPr>
              <w:t>Cost of sales and general management</w:t>
            </w:r>
          </w:p>
        </w:tc>
        <w:tc>
          <w:tcPr>
            <w:tcW w:w="889" w:type="pct"/>
            <w:vAlign w:val="center"/>
          </w:tcPr>
          <w:p w:rsidR="00AC3F1C" w:rsidRDefault="00D96C8D" w:rsidP="002A4F37">
            <w:pPr>
              <w:jc w:val="right"/>
              <w:rPr>
                <w:rFonts w:cs="Arial"/>
                <w:i/>
                <w:iCs/>
                <w:color w:val="FF0000"/>
                <w:sz w:val="18"/>
                <w:szCs w:val="18"/>
              </w:rPr>
            </w:pPr>
            <w:r>
              <w:rPr>
                <w:rFonts w:cs="Arial"/>
                <w:i/>
                <w:iCs/>
                <w:color w:val="FF0000"/>
                <w:sz w:val="18"/>
                <w:szCs w:val="18"/>
              </w:rPr>
              <w:t>-195,</w:t>
            </w:r>
            <w:r w:rsidR="00AC3F1C">
              <w:rPr>
                <w:rFonts w:cs="Arial"/>
                <w:i/>
                <w:iCs/>
                <w:color w:val="FF0000"/>
                <w:sz w:val="18"/>
                <w:szCs w:val="18"/>
              </w:rPr>
              <w:t>926</w:t>
            </w:r>
          </w:p>
        </w:tc>
        <w:tc>
          <w:tcPr>
            <w:tcW w:w="968" w:type="pct"/>
            <w:vAlign w:val="center"/>
          </w:tcPr>
          <w:p w:rsidR="00AC3F1C" w:rsidRDefault="00D96C8D" w:rsidP="002A4F37">
            <w:pPr>
              <w:jc w:val="right"/>
              <w:rPr>
                <w:rFonts w:cs="Arial"/>
                <w:i/>
                <w:iCs/>
                <w:color w:val="FF0000"/>
                <w:sz w:val="18"/>
                <w:szCs w:val="18"/>
              </w:rPr>
            </w:pPr>
            <w:r>
              <w:rPr>
                <w:rFonts w:cs="Arial"/>
                <w:i/>
                <w:iCs/>
                <w:color w:val="FF0000"/>
                <w:sz w:val="18"/>
                <w:szCs w:val="18"/>
              </w:rPr>
              <w:t>-163,</w:t>
            </w:r>
            <w:r w:rsidR="00AC3F1C">
              <w:rPr>
                <w:rFonts w:cs="Arial"/>
                <w:i/>
                <w:iCs/>
                <w:color w:val="FF0000"/>
                <w:sz w:val="18"/>
                <w:szCs w:val="18"/>
              </w:rPr>
              <w:t>753</w:t>
            </w:r>
          </w:p>
        </w:tc>
        <w:tc>
          <w:tcPr>
            <w:tcW w:w="720" w:type="pct"/>
            <w:vAlign w:val="center"/>
          </w:tcPr>
          <w:p w:rsidR="00AC3F1C" w:rsidRDefault="000A7A9F" w:rsidP="002A4F37">
            <w:pPr>
              <w:jc w:val="right"/>
              <w:rPr>
                <w:rFonts w:cs="Arial"/>
                <w:b/>
                <w:bCs/>
                <w:i/>
                <w:iCs/>
                <w:color w:val="000000"/>
                <w:sz w:val="18"/>
                <w:szCs w:val="18"/>
              </w:rPr>
            </w:pPr>
            <w:r>
              <w:rPr>
                <w:rFonts w:cs="Arial"/>
                <w:b/>
                <w:bCs/>
                <w:i/>
                <w:iCs/>
                <w:color w:val="000000"/>
                <w:sz w:val="18"/>
                <w:szCs w:val="18"/>
              </w:rPr>
              <w:t>19</w:t>
            </w:r>
            <w:r w:rsidR="00E31482">
              <w:rPr>
                <w:rFonts w:cs="Arial"/>
                <w:b/>
                <w:bCs/>
                <w:i/>
                <w:iCs/>
                <w:color w:val="000000"/>
                <w:sz w:val="18"/>
                <w:szCs w:val="18"/>
              </w:rPr>
              <w:t>.</w:t>
            </w:r>
            <w:r w:rsidR="00AC3F1C">
              <w:rPr>
                <w:rFonts w:cs="Arial"/>
                <w:b/>
                <w:bCs/>
                <w:i/>
                <w:iCs/>
                <w:color w:val="000000"/>
                <w:sz w:val="18"/>
                <w:szCs w:val="18"/>
              </w:rPr>
              <w:t>6%</w:t>
            </w:r>
          </w:p>
        </w:tc>
      </w:tr>
      <w:tr w:rsidR="00AC3F1C" w:rsidRPr="004B4CA1" w:rsidTr="00AC3F1C">
        <w:trPr>
          <w:cantSplit/>
          <w:trHeight w:hRule="exact" w:val="397"/>
          <w:tblCellSpacing w:w="20" w:type="dxa"/>
          <w:jc w:val="center"/>
        </w:trPr>
        <w:tc>
          <w:tcPr>
            <w:tcW w:w="2319" w:type="pct"/>
            <w:vAlign w:val="center"/>
          </w:tcPr>
          <w:p w:rsidR="00AC3F1C" w:rsidRPr="004B4CA1" w:rsidRDefault="00AC3F1C" w:rsidP="00F56C94">
            <w:pPr>
              <w:rPr>
                <w:rFonts w:cs="Arial"/>
                <w:color w:val="000000"/>
                <w:sz w:val="18"/>
                <w:szCs w:val="18"/>
              </w:rPr>
            </w:pPr>
            <w:r>
              <w:rPr>
                <w:color w:val="000000"/>
                <w:sz w:val="18"/>
              </w:rPr>
              <w:t>The balance of other income / operating costs</w:t>
            </w:r>
          </w:p>
        </w:tc>
        <w:tc>
          <w:tcPr>
            <w:tcW w:w="889" w:type="pct"/>
            <w:vAlign w:val="center"/>
          </w:tcPr>
          <w:p w:rsidR="00AC3F1C" w:rsidRDefault="00D96C8D" w:rsidP="002A4F37">
            <w:pPr>
              <w:jc w:val="right"/>
              <w:rPr>
                <w:rFonts w:cs="Arial"/>
                <w:color w:val="000000"/>
                <w:sz w:val="18"/>
                <w:szCs w:val="18"/>
              </w:rPr>
            </w:pPr>
            <w:r>
              <w:rPr>
                <w:rFonts w:cs="Arial"/>
                <w:color w:val="000000"/>
                <w:sz w:val="18"/>
                <w:szCs w:val="18"/>
              </w:rPr>
              <w:t>-4,</w:t>
            </w:r>
            <w:r w:rsidR="00AC3F1C">
              <w:rPr>
                <w:rFonts w:cs="Arial"/>
                <w:color w:val="000000"/>
                <w:sz w:val="18"/>
                <w:szCs w:val="18"/>
              </w:rPr>
              <w:t>079</w:t>
            </w:r>
          </w:p>
        </w:tc>
        <w:tc>
          <w:tcPr>
            <w:tcW w:w="968" w:type="pct"/>
            <w:vAlign w:val="center"/>
          </w:tcPr>
          <w:p w:rsidR="00AC3F1C" w:rsidRDefault="00D96C8D" w:rsidP="002A4F37">
            <w:pPr>
              <w:jc w:val="right"/>
              <w:rPr>
                <w:rFonts w:cs="Arial"/>
                <w:color w:val="000000"/>
                <w:sz w:val="18"/>
                <w:szCs w:val="18"/>
              </w:rPr>
            </w:pPr>
            <w:r>
              <w:rPr>
                <w:rFonts w:cs="Arial"/>
                <w:color w:val="000000"/>
                <w:sz w:val="18"/>
                <w:szCs w:val="18"/>
              </w:rPr>
              <w:t>3,</w:t>
            </w:r>
            <w:r w:rsidR="00AC3F1C">
              <w:rPr>
                <w:rFonts w:cs="Arial"/>
                <w:color w:val="000000"/>
                <w:sz w:val="18"/>
                <w:szCs w:val="18"/>
              </w:rPr>
              <w:t>793</w:t>
            </w:r>
          </w:p>
        </w:tc>
        <w:tc>
          <w:tcPr>
            <w:tcW w:w="720" w:type="pct"/>
            <w:vAlign w:val="center"/>
          </w:tcPr>
          <w:p w:rsidR="00AC3F1C" w:rsidRDefault="00AC3F1C" w:rsidP="002A4F37">
            <w:pPr>
              <w:jc w:val="right"/>
              <w:rPr>
                <w:rFonts w:cs="Arial"/>
                <w:color w:val="000000"/>
                <w:sz w:val="18"/>
                <w:szCs w:val="18"/>
              </w:rPr>
            </w:pPr>
            <w:r>
              <w:rPr>
                <w:rFonts w:cs="Arial"/>
                <w:color w:val="000000"/>
                <w:sz w:val="18"/>
                <w:szCs w:val="18"/>
              </w:rPr>
              <w:t> </w:t>
            </w:r>
          </w:p>
        </w:tc>
      </w:tr>
      <w:tr w:rsidR="00AC3F1C" w:rsidRPr="004B4CA1" w:rsidTr="00AC3F1C">
        <w:trPr>
          <w:cantSplit/>
          <w:trHeight w:hRule="exact" w:val="397"/>
          <w:tblCellSpacing w:w="20" w:type="dxa"/>
          <w:jc w:val="center"/>
        </w:trPr>
        <w:tc>
          <w:tcPr>
            <w:tcW w:w="2319" w:type="pct"/>
            <w:shd w:val="clear" w:color="auto" w:fill="D9D9D9" w:themeFill="background1" w:themeFillShade="D9"/>
            <w:vAlign w:val="center"/>
          </w:tcPr>
          <w:p w:rsidR="00AC3F1C" w:rsidRPr="004B4CA1" w:rsidRDefault="00AC3F1C" w:rsidP="00E15BC4">
            <w:pPr>
              <w:rPr>
                <w:rFonts w:cs="Arial"/>
                <w:b/>
                <w:i/>
                <w:color w:val="000000"/>
                <w:sz w:val="18"/>
                <w:szCs w:val="18"/>
              </w:rPr>
            </w:pPr>
            <w:r>
              <w:rPr>
                <w:b/>
                <w:i/>
                <w:color w:val="000000"/>
                <w:sz w:val="18"/>
              </w:rPr>
              <w:t>Profit on operating activity</w:t>
            </w:r>
          </w:p>
        </w:tc>
        <w:tc>
          <w:tcPr>
            <w:tcW w:w="889"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87,</w:t>
            </w:r>
            <w:r w:rsidR="00AC3F1C">
              <w:rPr>
                <w:rFonts w:cs="Arial"/>
                <w:b/>
                <w:bCs/>
                <w:i/>
                <w:iCs/>
                <w:color w:val="000000"/>
                <w:sz w:val="18"/>
                <w:szCs w:val="18"/>
              </w:rPr>
              <w:t>173</w:t>
            </w:r>
          </w:p>
        </w:tc>
        <w:tc>
          <w:tcPr>
            <w:tcW w:w="968"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73,</w:t>
            </w:r>
            <w:r w:rsidR="00AC3F1C">
              <w:rPr>
                <w:rFonts w:cs="Arial"/>
                <w:b/>
                <w:bCs/>
                <w:i/>
                <w:iCs/>
                <w:color w:val="000000"/>
                <w:sz w:val="18"/>
                <w:szCs w:val="18"/>
              </w:rPr>
              <w:t>069</w:t>
            </w:r>
          </w:p>
        </w:tc>
        <w:tc>
          <w:tcPr>
            <w:tcW w:w="720" w:type="pct"/>
            <w:shd w:val="clear" w:color="auto" w:fill="D9D9D9" w:themeFill="background1" w:themeFillShade="D9"/>
            <w:vAlign w:val="center"/>
          </w:tcPr>
          <w:p w:rsidR="00AC3F1C" w:rsidRDefault="000A7A9F" w:rsidP="002A4F37">
            <w:pPr>
              <w:jc w:val="right"/>
              <w:rPr>
                <w:rFonts w:cs="Arial"/>
                <w:b/>
                <w:bCs/>
                <w:i/>
                <w:iCs/>
                <w:color w:val="000000"/>
                <w:sz w:val="18"/>
                <w:szCs w:val="18"/>
              </w:rPr>
            </w:pPr>
            <w:r>
              <w:rPr>
                <w:rFonts w:cs="Arial"/>
                <w:b/>
                <w:bCs/>
                <w:i/>
                <w:iCs/>
                <w:color w:val="000000"/>
                <w:sz w:val="18"/>
                <w:szCs w:val="18"/>
              </w:rPr>
              <w:t>19</w:t>
            </w:r>
            <w:r w:rsidR="00E31482">
              <w:rPr>
                <w:rFonts w:cs="Arial"/>
                <w:b/>
                <w:bCs/>
                <w:i/>
                <w:iCs/>
                <w:color w:val="000000"/>
                <w:sz w:val="18"/>
                <w:szCs w:val="18"/>
              </w:rPr>
              <w:t>.</w:t>
            </w:r>
            <w:r w:rsidR="00AC3F1C">
              <w:rPr>
                <w:rFonts w:cs="Arial"/>
                <w:b/>
                <w:bCs/>
                <w:i/>
                <w:iCs/>
                <w:color w:val="000000"/>
                <w:sz w:val="18"/>
                <w:szCs w:val="18"/>
              </w:rPr>
              <w:t>3%</w:t>
            </w:r>
          </w:p>
        </w:tc>
      </w:tr>
      <w:tr w:rsidR="00AC3F1C" w:rsidRPr="004B4CA1" w:rsidTr="00AC3F1C">
        <w:trPr>
          <w:cantSplit/>
          <w:trHeight w:hRule="exact" w:val="397"/>
          <w:tblCellSpacing w:w="20" w:type="dxa"/>
          <w:jc w:val="center"/>
        </w:trPr>
        <w:tc>
          <w:tcPr>
            <w:tcW w:w="2319" w:type="pct"/>
            <w:vAlign w:val="center"/>
          </w:tcPr>
          <w:p w:rsidR="00AC3F1C" w:rsidRPr="004B4CA1" w:rsidRDefault="00AC3F1C" w:rsidP="00E15BC4">
            <w:pPr>
              <w:rPr>
                <w:rFonts w:cs="Arial"/>
                <w:i/>
                <w:color w:val="000000"/>
                <w:sz w:val="18"/>
                <w:szCs w:val="18"/>
              </w:rPr>
            </w:pPr>
            <w:r>
              <w:rPr>
                <w:i/>
                <w:color w:val="000000"/>
                <w:sz w:val="18"/>
              </w:rPr>
              <w:t>Operating profitability</w:t>
            </w:r>
          </w:p>
        </w:tc>
        <w:tc>
          <w:tcPr>
            <w:tcW w:w="889" w:type="pct"/>
            <w:vAlign w:val="center"/>
          </w:tcPr>
          <w:p w:rsidR="00AC3F1C" w:rsidRDefault="00D96C8D" w:rsidP="002A4F37">
            <w:pPr>
              <w:jc w:val="right"/>
              <w:rPr>
                <w:rFonts w:cs="Arial"/>
                <w:i/>
                <w:iCs/>
                <w:color w:val="000000"/>
                <w:sz w:val="18"/>
                <w:szCs w:val="18"/>
              </w:rPr>
            </w:pPr>
            <w:r>
              <w:rPr>
                <w:rFonts w:cs="Arial"/>
                <w:i/>
                <w:iCs/>
                <w:color w:val="000000"/>
                <w:sz w:val="18"/>
                <w:szCs w:val="18"/>
              </w:rPr>
              <w:t>17.</w:t>
            </w:r>
            <w:r w:rsidR="00AC3F1C">
              <w:rPr>
                <w:rFonts w:cs="Arial"/>
                <w:i/>
                <w:iCs/>
                <w:color w:val="000000"/>
                <w:sz w:val="18"/>
                <w:szCs w:val="18"/>
              </w:rPr>
              <w:t>5%</w:t>
            </w:r>
          </w:p>
        </w:tc>
        <w:tc>
          <w:tcPr>
            <w:tcW w:w="968" w:type="pct"/>
            <w:vAlign w:val="center"/>
          </w:tcPr>
          <w:p w:rsidR="00AC3F1C" w:rsidRDefault="00D96C8D" w:rsidP="002A4F37">
            <w:pPr>
              <w:jc w:val="right"/>
              <w:rPr>
                <w:rFonts w:cs="Arial"/>
                <w:i/>
                <w:iCs/>
                <w:color w:val="000000"/>
                <w:sz w:val="18"/>
                <w:szCs w:val="18"/>
              </w:rPr>
            </w:pPr>
            <w:r>
              <w:rPr>
                <w:rFonts w:cs="Arial"/>
                <w:i/>
                <w:iCs/>
                <w:color w:val="000000"/>
                <w:sz w:val="18"/>
                <w:szCs w:val="18"/>
              </w:rPr>
              <w:t>17.</w:t>
            </w:r>
            <w:r w:rsidR="00AC3F1C">
              <w:rPr>
                <w:rFonts w:cs="Arial"/>
                <w:i/>
                <w:iCs/>
                <w:color w:val="000000"/>
                <w:sz w:val="18"/>
                <w:szCs w:val="18"/>
              </w:rPr>
              <w:t>3%</w:t>
            </w:r>
          </w:p>
        </w:tc>
        <w:tc>
          <w:tcPr>
            <w:tcW w:w="720" w:type="pct"/>
            <w:vAlign w:val="center"/>
          </w:tcPr>
          <w:p w:rsidR="00AC3F1C" w:rsidRDefault="00AC3F1C" w:rsidP="002A4F37">
            <w:pPr>
              <w:jc w:val="right"/>
              <w:rPr>
                <w:rFonts w:cs="Arial"/>
                <w:i/>
                <w:iCs/>
                <w:color w:val="000000"/>
                <w:sz w:val="18"/>
                <w:szCs w:val="18"/>
              </w:rPr>
            </w:pPr>
            <w:r>
              <w:rPr>
                <w:rFonts w:cs="Arial"/>
                <w:i/>
                <w:iCs/>
                <w:color w:val="000000"/>
                <w:sz w:val="18"/>
                <w:szCs w:val="18"/>
              </w:rPr>
              <w:t> </w:t>
            </w:r>
          </w:p>
        </w:tc>
      </w:tr>
      <w:tr w:rsidR="00AC3F1C" w:rsidRPr="004B4CA1" w:rsidTr="00AC3F1C">
        <w:trPr>
          <w:cantSplit/>
          <w:trHeight w:hRule="exact" w:val="397"/>
          <w:tblCellSpacing w:w="20" w:type="dxa"/>
          <w:jc w:val="center"/>
        </w:trPr>
        <w:tc>
          <w:tcPr>
            <w:tcW w:w="2319" w:type="pct"/>
            <w:vAlign w:val="center"/>
          </w:tcPr>
          <w:p w:rsidR="00AC3F1C" w:rsidRPr="004B4CA1" w:rsidRDefault="00AC3F1C" w:rsidP="00E15BC4">
            <w:pPr>
              <w:rPr>
                <w:rFonts w:cs="Arial"/>
                <w:color w:val="000000"/>
                <w:sz w:val="18"/>
                <w:szCs w:val="18"/>
              </w:rPr>
            </w:pPr>
            <w:r>
              <w:rPr>
                <w:color w:val="000000"/>
                <w:sz w:val="18"/>
              </w:rPr>
              <w:t>The balance of financial revenues/expenses</w:t>
            </w:r>
          </w:p>
        </w:tc>
        <w:tc>
          <w:tcPr>
            <w:tcW w:w="889" w:type="pct"/>
            <w:vAlign w:val="center"/>
          </w:tcPr>
          <w:p w:rsidR="00AC3F1C" w:rsidRDefault="00D96C8D" w:rsidP="002A4F37">
            <w:pPr>
              <w:jc w:val="right"/>
              <w:rPr>
                <w:rFonts w:cs="Arial"/>
                <w:color w:val="FF0000"/>
                <w:sz w:val="18"/>
                <w:szCs w:val="18"/>
              </w:rPr>
            </w:pPr>
            <w:r>
              <w:rPr>
                <w:rFonts w:cs="Arial"/>
                <w:color w:val="FF0000"/>
                <w:sz w:val="18"/>
                <w:szCs w:val="18"/>
              </w:rPr>
              <w:t>-4,</w:t>
            </w:r>
            <w:r w:rsidR="00AC3F1C">
              <w:rPr>
                <w:rFonts w:cs="Arial"/>
                <w:color w:val="FF0000"/>
                <w:sz w:val="18"/>
                <w:szCs w:val="18"/>
              </w:rPr>
              <w:t>682</w:t>
            </w:r>
          </w:p>
        </w:tc>
        <w:tc>
          <w:tcPr>
            <w:tcW w:w="968" w:type="pct"/>
            <w:vAlign w:val="center"/>
          </w:tcPr>
          <w:p w:rsidR="00AC3F1C" w:rsidRDefault="00D96C8D" w:rsidP="002A4F37">
            <w:pPr>
              <w:jc w:val="right"/>
              <w:rPr>
                <w:rFonts w:cs="Arial"/>
                <w:color w:val="FF0000"/>
                <w:sz w:val="18"/>
                <w:szCs w:val="18"/>
              </w:rPr>
            </w:pPr>
            <w:r>
              <w:rPr>
                <w:rFonts w:cs="Arial"/>
                <w:color w:val="FF0000"/>
                <w:sz w:val="18"/>
                <w:szCs w:val="18"/>
              </w:rPr>
              <w:t>-2,</w:t>
            </w:r>
            <w:r w:rsidR="00AC3F1C">
              <w:rPr>
                <w:rFonts w:cs="Arial"/>
                <w:color w:val="FF0000"/>
                <w:sz w:val="18"/>
                <w:szCs w:val="18"/>
              </w:rPr>
              <w:t>012</w:t>
            </w:r>
          </w:p>
        </w:tc>
        <w:tc>
          <w:tcPr>
            <w:tcW w:w="720" w:type="pct"/>
            <w:vAlign w:val="center"/>
          </w:tcPr>
          <w:p w:rsidR="00AC3F1C" w:rsidRDefault="00AC3F1C" w:rsidP="002A4F37">
            <w:pPr>
              <w:jc w:val="right"/>
              <w:rPr>
                <w:rFonts w:cs="Arial"/>
                <w:color w:val="000000"/>
                <w:sz w:val="18"/>
                <w:szCs w:val="18"/>
              </w:rPr>
            </w:pPr>
            <w:r>
              <w:rPr>
                <w:rFonts w:cs="Arial"/>
                <w:color w:val="000000"/>
                <w:sz w:val="18"/>
                <w:szCs w:val="18"/>
              </w:rPr>
              <w:t> </w:t>
            </w:r>
          </w:p>
        </w:tc>
      </w:tr>
      <w:tr w:rsidR="00AC3F1C" w:rsidRPr="004B4CA1" w:rsidTr="00AC3F1C">
        <w:trPr>
          <w:cantSplit/>
          <w:trHeight w:hRule="exact" w:val="397"/>
          <w:tblCellSpacing w:w="20" w:type="dxa"/>
          <w:jc w:val="center"/>
        </w:trPr>
        <w:tc>
          <w:tcPr>
            <w:tcW w:w="2319" w:type="pct"/>
            <w:shd w:val="clear" w:color="auto" w:fill="D9D9D9" w:themeFill="background1" w:themeFillShade="D9"/>
            <w:vAlign w:val="center"/>
          </w:tcPr>
          <w:p w:rsidR="00AC3F1C" w:rsidRPr="004B4CA1" w:rsidRDefault="00AC3F1C" w:rsidP="00E15BC4">
            <w:pPr>
              <w:rPr>
                <w:rFonts w:cs="Arial"/>
                <w:b/>
                <w:i/>
                <w:color w:val="000000"/>
                <w:sz w:val="18"/>
                <w:szCs w:val="18"/>
              </w:rPr>
            </w:pPr>
            <w:r>
              <w:rPr>
                <w:b/>
                <w:i/>
                <w:color w:val="000000"/>
                <w:sz w:val="18"/>
              </w:rPr>
              <w:t>Profit before tax</w:t>
            </w:r>
          </w:p>
        </w:tc>
        <w:tc>
          <w:tcPr>
            <w:tcW w:w="889"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82,</w:t>
            </w:r>
            <w:r w:rsidR="00AC3F1C">
              <w:rPr>
                <w:rFonts w:cs="Arial"/>
                <w:b/>
                <w:bCs/>
                <w:i/>
                <w:iCs/>
                <w:color w:val="000000"/>
                <w:sz w:val="18"/>
                <w:szCs w:val="18"/>
              </w:rPr>
              <w:t>491</w:t>
            </w:r>
          </w:p>
        </w:tc>
        <w:tc>
          <w:tcPr>
            <w:tcW w:w="968"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71,</w:t>
            </w:r>
            <w:r w:rsidR="00AC3F1C">
              <w:rPr>
                <w:rFonts w:cs="Arial"/>
                <w:b/>
                <w:bCs/>
                <w:i/>
                <w:iCs/>
                <w:color w:val="000000"/>
                <w:sz w:val="18"/>
                <w:szCs w:val="18"/>
              </w:rPr>
              <w:t>057</w:t>
            </w:r>
          </w:p>
        </w:tc>
        <w:tc>
          <w:tcPr>
            <w:tcW w:w="720" w:type="pct"/>
            <w:shd w:val="clear" w:color="auto" w:fill="D9D9D9" w:themeFill="background1" w:themeFillShade="D9"/>
            <w:vAlign w:val="center"/>
          </w:tcPr>
          <w:p w:rsidR="00AC3F1C" w:rsidRDefault="00E31482" w:rsidP="002A4F37">
            <w:pPr>
              <w:jc w:val="right"/>
              <w:rPr>
                <w:rFonts w:cs="Arial"/>
                <w:b/>
                <w:bCs/>
                <w:i/>
                <w:iCs/>
                <w:color w:val="000000"/>
                <w:sz w:val="18"/>
                <w:szCs w:val="18"/>
              </w:rPr>
            </w:pPr>
            <w:r>
              <w:rPr>
                <w:rFonts w:cs="Arial"/>
                <w:b/>
                <w:bCs/>
                <w:i/>
                <w:iCs/>
                <w:color w:val="000000"/>
                <w:sz w:val="18"/>
                <w:szCs w:val="18"/>
              </w:rPr>
              <w:t>16.</w:t>
            </w:r>
            <w:r w:rsidR="00AC3F1C">
              <w:rPr>
                <w:rFonts w:cs="Arial"/>
                <w:b/>
                <w:bCs/>
                <w:i/>
                <w:iCs/>
                <w:color w:val="000000"/>
                <w:sz w:val="18"/>
                <w:szCs w:val="18"/>
              </w:rPr>
              <w:t>1%</w:t>
            </w:r>
          </w:p>
        </w:tc>
      </w:tr>
      <w:tr w:rsidR="00AC3F1C" w:rsidRPr="004B4CA1" w:rsidTr="00AC3F1C">
        <w:trPr>
          <w:cantSplit/>
          <w:trHeight w:hRule="exact" w:val="397"/>
          <w:tblCellSpacing w:w="20" w:type="dxa"/>
          <w:jc w:val="center"/>
        </w:trPr>
        <w:tc>
          <w:tcPr>
            <w:tcW w:w="2319" w:type="pct"/>
            <w:vAlign w:val="bottom"/>
          </w:tcPr>
          <w:p w:rsidR="00AC3F1C" w:rsidRPr="004B4CA1" w:rsidRDefault="00AC3F1C">
            <w:pPr>
              <w:rPr>
                <w:rFonts w:cs="Arial"/>
                <w:color w:val="000000"/>
                <w:sz w:val="18"/>
                <w:szCs w:val="18"/>
              </w:rPr>
            </w:pPr>
            <w:r>
              <w:rPr>
                <w:color w:val="000000"/>
                <w:sz w:val="18"/>
              </w:rPr>
              <w:t>Income tax</w:t>
            </w:r>
          </w:p>
        </w:tc>
        <w:tc>
          <w:tcPr>
            <w:tcW w:w="889" w:type="pct"/>
            <w:vAlign w:val="center"/>
          </w:tcPr>
          <w:p w:rsidR="00AC3F1C" w:rsidRDefault="00D96C8D" w:rsidP="002A4F37">
            <w:pPr>
              <w:jc w:val="right"/>
              <w:rPr>
                <w:rFonts w:cs="Arial"/>
                <w:color w:val="FF0000"/>
                <w:sz w:val="18"/>
                <w:szCs w:val="18"/>
              </w:rPr>
            </w:pPr>
            <w:r>
              <w:rPr>
                <w:rFonts w:cs="Arial"/>
                <w:color w:val="FF0000"/>
                <w:sz w:val="18"/>
                <w:szCs w:val="18"/>
              </w:rPr>
              <w:t>-12,</w:t>
            </w:r>
            <w:r w:rsidR="00AC3F1C">
              <w:rPr>
                <w:rFonts w:cs="Arial"/>
                <w:color w:val="FF0000"/>
                <w:sz w:val="18"/>
                <w:szCs w:val="18"/>
              </w:rPr>
              <w:t>734</w:t>
            </w:r>
          </w:p>
        </w:tc>
        <w:tc>
          <w:tcPr>
            <w:tcW w:w="968" w:type="pct"/>
            <w:vAlign w:val="center"/>
          </w:tcPr>
          <w:p w:rsidR="00AC3F1C" w:rsidRDefault="00D96C8D" w:rsidP="002A4F37">
            <w:pPr>
              <w:jc w:val="right"/>
              <w:rPr>
                <w:rFonts w:cs="Arial"/>
                <w:color w:val="FF0000"/>
                <w:sz w:val="18"/>
                <w:szCs w:val="18"/>
              </w:rPr>
            </w:pPr>
            <w:r>
              <w:rPr>
                <w:rFonts w:cs="Arial"/>
                <w:color w:val="FF0000"/>
                <w:sz w:val="18"/>
                <w:szCs w:val="18"/>
              </w:rPr>
              <w:t>-1,</w:t>
            </w:r>
            <w:r w:rsidR="00AC3F1C">
              <w:rPr>
                <w:rFonts w:cs="Arial"/>
                <w:color w:val="FF0000"/>
                <w:sz w:val="18"/>
                <w:szCs w:val="18"/>
              </w:rPr>
              <w:t>890</w:t>
            </w:r>
          </w:p>
        </w:tc>
        <w:tc>
          <w:tcPr>
            <w:tcW w:w="720" w:type="pct"/>
            <w:vAlign w:val="center"/>
          </w:tcPr>
          <w:p w:rsidR="00AC3F1C" w:rsidRDefault="00AC3F1C" w:rsidP="002A4F37">
            <w:pPr>
              <w:jc w:val="right"/>
              <w:rPr>
                <w:rFonts w:cs="Arial"/>
                <w:color w:val="000000"/>
                <w:sz w:val="18"/>
                <w:szCs w:val="18"/>
              </w:rPr>
            </w:pPr>
            <w:r>
              <w:rPr>
                <w:rFonts w:cs="Arial"/>
                <w:color w:val="000000"/>
                <w:sz w:val="18"/>
                <w:szCs w:val="18"/>
              </w:rPr>
              <w:t> </w:t>
            </w:r>
          </w:p>
        </w:tc>
      </w:tr>
      <w:tr w:rsidR="00AC3F1C" w:rsidRPr="004B4CA1" w:rsidTr="00AC3F1C">
        <w:trPr>
          <w:cantSplit/>
          <w:trHeight w:hRule="exact" w:val="397"/>
          <w:tblCellSpacing w:w="20" w:type="dxa"/>
          <w:jc w:val="center"/>
        </w:trPr>
        <w:tc>
          <w:tcPr>
            <w:tcW w:w="2319" w:type="pct"/>
            <w:shd w:val="clear" w:color="auto" w:fill="D9D9D9" w:themeFill="background1" w:themeFillShade="D9"/>
            <w:vAlign w:val="center"/>
          </w:tcPr>
          <w:p w:rsidR="00AC3F1C" w:rsidRPr="004B4CA1" w:rsidRDefault="00AC3F1C" w:rsidP="00CC1A0E">
            <w:pPr>
              <w:rPr>
                <w:rFonts w:cs="Arial"/>
                <w:b/>
                <w:bCs/>
                <w:i/>
                <w:color w:val="000000"/>
                <w:sz w:val="18"/>
                <w:szCs w:val="18"/>
              </w:rPr>
            </w:pPr>
            <w:r>
              <w:rPr>
                <w:b/>
                <w:i/>
                <w:color w:val="000000"/>
                <w:sz w:val="18"/>
              </w:rPr>
              <w:t>Net profit</w:t>
            </w:r>
          </w:p>
        </w:tc>
        <w:tc>
          <w:tcPr>
            <w:tcW w:w="889"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69,</w:t>
            </w:r>
            <w:r w:rsidR="00AC3F1C">
              <w:rPr>
                <w:rFonts w:cs="Arial"/>
                <w:b/>
                <w:bCs/>
                <w:i/>
                <w:iCs/>
                <w:color w:val="000000"/>
                <w:sz w:val="18"/>
                <w:szCs w:val="18"/>
              </w:rPr>
              <w:t>757</w:t>
            </w:r>
          </w:p>
        </w:tc>
        <w:tc>
          <w:tcPr>
            <w:tcW w:w="968" w:type="pct"/>
            <w:shd w:val="clear" w:color="auto" w:fill="D9D9D9" w:themeFill="background1" w:themeFillShade="D9"/>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69,</w:t>
            </w:r>
            <w:r w:rsidR="00AC3F1C">
              <w:rPr>
                <w:rFonts w:cs="Arial"/>
                <w:b/>
                <w:bCs/>
                <w:i/>
                <w:iCs/>
                <w:color w:val="000000"/>
                <w:sz w:val="18"/>
                <w:szCs w:val="18"/>
              </w:rPr>
              <w:t>167</w:t>
            </w:r>
          </w:p>
        </w:tc>
        <w:tc>
          <w:tcPr>
            <w:tcW w:w="720" w:type="pct"/>
            <w:shd w:val="clear" w:color="auto" w:fill="D9D9D9" w:themeFill="background1" w:themeFillShade="D9"/>
            <w:vAlign w:val="center"/>
          </w:tcPr>
          <w:p w:rsidR="00AC3F1C" w:rsidRDefault="00E31482" w:rsidP="002A4F37">
            <w:pPr>
              <w:jc w:val="right"/>
              <w:rPr>
                <w:rFonts w:cs="Arial"/>
                <w:b/>
                <w:bCs/>
                <w:i/>
                <w:iCs/>
                <w:color w:val="000000"/>
                <w:sz w:val="18"/>
                <w:szCs w:val="18"/>
              </w:rPr>
            </w:pPr>
            <w:r>
              <w:rPr>
                <w:rFonts w:cs="Arial"/>
                <w:b/>
                <w:bCs/>
                <w:i/>
                <w:iCs/>
                <w:color w:val="000000"/>
                <w:sz w:val="18"/>
                <w:szCs w:val="18"/>
              </w:rPr>
              <w:t>0.</w:t>
            </w:r>
            <w:r w:rsidR="00AC3F1C">
              <w:rPr>
                <w:rFonts w:cs="Arial"/>
                <w:b/>
                <w:bCs/>
                <w:i/>
                <w:iCs/>
                <w:color w:val="000000"/>
                <w:sz w:val="18"/>
                <w:szCs w:val="18"/>
              </w:rPr>
              <w:t>9%</w:t>
            </w:r>
          </w:p>
        </w:tc>
      </w:tr>
      <w:tr w:rsidR="00AC3F1C" w:rsidRPr="004B4CA1" w:rsidTr="00AC3F1C">
        <w:trPr>
          <w:cantSplit/>
          <w:trHeight w:hRule="exact" w:val="397"/>
          <w:tblCellSpacing w:w="20" w:type="dxa"/>
          <w:jc w:val="center"/>
        </w:trPr>
        <w:tc>
          <w:tcPr>
            <w:tcW w:w="2319" w:type="pct"/>
            <w:shd w:val="clear" w:color="auto" w:fill="auto"/>
            <w:vAlign w:val="center"/>
          </w:tcPr>
          <w:p w:rsidR="00AC3F1C" w:rsidRPr="004B4CA1" w:rsidRDefault="00AC3F1C" w:rsidP="00CC1A0E">
            <w:pPr>
              <w:rPr>
                <w:rFonts w:cs="Arial"/>
                <w:b/>
                <w:bCs/>
                <w:i/>
                <w:color w:val="000000"/>
                <w:sz w:val="18"/>
                <w:szCs w:val="18"/>
              </w:rPr>
            </w:pPr>
            <w:r>
              <w:rPr>
                <w:b/>
                <w:i/>
                <w:color w:val="000000"/>
                <w:sz w:val="18"/>
              </w:rPr>
              <w:t>Net profitability</w:t>
            </w:r>
          </w:p>
        </w:tc>
        <w:tc>
          <w:tcPr>
            <w:tcW w:w="889" w:type="pct"/>
            <w:shd w:val="clear" w:color="auto" w:fill="auto"/>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14.</w:t>
            </w:r>
            <w:r w:rsidR="00AC3F1C">
              <w:rPr>
                <w:rFonts w:cs="Arial"/>
                <w:b/>
                <w:bCs/>
                <w:i/>
                <w:iCs/>
                <w:color w:val="000000"/>
                <w:sz w:val="18"/>
                <w:szCs w:val="18"/>
              </w:rPr>
              <w:t>0%</w:t>
            </w:r>
          </w:p>
        </w:tc>
        <w:tc>
          <w:tcPr>
            <w:tcW w:w="968" w:type="pct"/>
            <w:shd w:val="clear" w:color="auto" w:fill="auto"/>
            <w:vAlign w:val="center"/>
          </w:tcPr>
          <w:p w:rsidR="00AC3F1C" w:rsidRDefault="00D96C8D" w:rsidP="002A4F37">
            <w:pPr>
              <w:jc w:val="right"/>
              <w:rPr>
                <w:rFonts w:cs="Arial"/>
                <w:b/>
                <w:bCs/>
                <w:i/>
                <w:iCs/>
                <w:color w:val="000000"/>
                <w:sz w:val="18"/>
                <w:szCs w:val="18"/>
              </w:rPr>
            </w:pPr>
            <w:r>
              <w:rPr>
                <w:rFonts w:cs="Arial"/>
                <w:b/>
                <w:bCs/>
                <w:i/>
                <w:iCs/>
                <w:color w:val="000000"/>
                <w:sz w:val="18"/>
                <w:szCs w:val="18"/>
              </w:rPr>
              <w:t>16.</w:t>
            </w:r>
            <w:r w:rsidR="00AC3F1C">
              <w:rPr>
                <w:rFonts w:cs="Arial"/>
                <w:b/>
                <w:bCs/>
                <w:i/>
                <w:iCs/>
                <w:color w:val="000000"/>
                <w:sz w:val="18"/>
                <w:szCs w:val="18"/>
              </w:rPr>
              <w:t>4%</w:t>
            </w:r>
          </w:p>
        </w:tc>
        <w:tc>
          <w:tcPr>
            <w:tcW w:w="720" w:type="pct"/>
            <w:shd w:val="clear" w:color="auto" w:fill="auto"/>
            <w:vAlign w:val="center"/>
          </w:tcPr>
          <w:p w:rsidR="00AC3F1C" w:rsidRDefault="00AC3F1C" w:rsidP="002A4F37">
            <w:pPr>
              <w:jc w:val="right"/>
              <w:rPr>
                <w:rFonts w:cs="Arial"/>
                <w:b/>
                <w:bCs/>
                <w:i/>
                <w:iCs/>
                <w:color w:val="000000"/>
                <w:sz w:val="18"/>
                <w:szCs w:val="18"/>
              </w:rPr>
            </w:pPr>
            <w:r>
              <w:rPr>
                <w:rFonts w:cs="Arial"/>
                <w:b/>
                <w:bCs/>
                <w:i/>
                <w:iCs/>
                <w:color w:val="000000"/>
                <w:sz w:val="18"/>
                <w:szCs w:val="18"/>
              </w:rPr>
              <w:t> </w:t>
            </w:r>
          </w:p>
        </w:tc>
      </w:tr>
    </w:tbl>
    <w:p w:rsidR="00E15BC4" w:rsidRPr="004B4CA1" w:rsidRDefault="00E15BC4" w:rsidP="00E15BC4"/>
    <w:p w:rsidR="00940552" w:rsidRPr="004B4CA1" w:rsidRDefault="00940552" w:rsidP="00A63121">
      <w:pPr>
        <w:pStyle w:val="dAREK1"/>
      </w:pPr>
    </w:p>
    <w:p w:rsidR="001756DE" w:rsidRPr="004B4CA1" w:rsidRDefault="001756DE" w:rsidP="00A63121">
      <w:pPr>
        <w:pStyle w:val="dAREK1"/>
      </w:pPr>
    </w:p>
    <w:p w:rsidR="00940552" w:rsidRPr="004B4CA1" w:rsidRDefault="00940552" w:rsidP="00940552">
      <w:pPr>
        <w:pStyle w:val="Legenda"/>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5</w:t>
      </w:r>
      <w:r w:rsidR="000418D6" w:rsidRPr="004B4CA1">
        <w:rPr>
          <w:noProof/>
        </w:rPr>
        <w:fldChar w:fldCharType="end"/>
      </w:r>
      <w:r>
        <w:t>. Basic economic and financial results achieved in 1H</w:t>
      </w:r>
    </w:p>
    <w:tbl>
      <w:tblPr>
        <w:tblW w:w="493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410"/>
        <w:gridCol w:w="1812"/>
        <w:gridCol w:w="1891"/>
        <w:gridCol w:w="1362"/>
      </w:tblGrid>
      <w:tr w:rsidR="00940552" w:rsidRPr="004B4CA1" w:rsidTr="000A7A9F">
        <w:trPr>
          <w:cantSplit/>
          <w:trHeight w:hRule="exact" w:val="510"/>
          <w:tblCellSpacing w:w="20" w:type="dxa"/>
          <w:jc w:val="center"/>
        </w:trPr>
        <w:tc>
          <w:tcPr>
            <w:tcW w:w="2296" w:type="pct"/>
            <w:tcBorders>
              <w:bottom w:val="outset" w:sz="6" w:space="0" w:color="auto"/>
            </w:tcBorders>
            <w:shd w:val="clear" w:color="auto" w:fill="D9D9D9" w:themeFill="background1" w:themeFillShade="D9"/>
            <w:vAlign w:val="center"/>
          </w:tcPr>
          <w:p w:rsidR="00940552" w:rsidRPr="004B4CA1" w:rsidRDefault="00940552" w:rsidP="008B1AF7">
            <w:pPr>
              <w:keepNext/>
              <w:keepLines/>
              <w:autoSpaceDE w:val="0"/>
              <w:autoSpaceDN w:val="0"/>
              <w:adjustRightInd w:val="0"/>
              <w:jc w:val="center"/>
              <w:rPr>
                <w:rFonts w:cs="Arial"/>
                <w:b/>
                <w:bCs/>
                <w:sz w:val="18"/>
                <w:szCs w:val="20"/>
              </w:rPr>
            </w:pPr>
            <w:bookmarkStart w:id="9" w:name="OLE_LINK1"/>
            <w:bookmarkStart w:id="10" w:name="OLE_LINK2"/>
            <w:r>
              <w:rPr>
                <w:b/>
                <w:sz w:val="18"/>
              </w:rPr>
              <w:t>Amount</w:t>
            </w:r>
          </w:p>
        </w:tc>
        <w:tc>
          <w:tcPr>
            <w:tcW w:w="935" w:type="pct"/>
            <w:tcBorders>
              <w:bottom w:val="outset" w:sz="6" w:space="0" w:color="auto"/>
            </w:tcBorders>
            <w:shd w:val="clear" w:color="auto" w:fill="D9D9D9" w:themeFill="background1" w:themeFillShade="D9"/>
            <w:vAlign w:val="center"/>
          </w:tcPr>
          <w:p w:rsidR="004B4CA1" w:rsidRDefault="009A220A" w:rsidP="004B4CA1">
            <w:pPr>
              <w:keepNext/>
              <w:keepLines/>
              <w:autoSpaceDE w:val="0"/>
              <w:autoSpaceDN w:val="0"/>
              <w:adjustRightInd w:val="0"/>
              <w:jc w:val="center"/>
              <w:rPr>
                <w:rFonts w:cs="Arial"/>
                <w:b/>
                <w:bCs/>
                <w:sz w:val="18"/>
                <w:szCs w:val="20"/>
              </w:rPr>
            </w:pPr>
            <w:r>
              <w:rPr>
                <w:b/>
                <w:sz w:val="18"/>
              </w:rPr>
              <w:t xml:space="preserve">1H </w:t>
            </w:r>
            <w:r w:rsidR="006426A9">
              <w:rPr>
                <w:b/>
                <w:sz w:val="18"/>
              </w:rPr>
              <w:t>2014</w:t>
            </w:r>
          </w:p>
          <w:p w:rsidR="00940552" w:rsidRPr="004B4CA1" w:rsidRDefault="00940552" w:rsidP="00766DCD">
            <w:pPr>
              <w:keepNext/>
              <w:keepLines/>
              <w:autoSpaceDE w:val="0"/>
              <w:autoSpaceDN w:val="0"/>
              <w:adjustRightInd w:val="0"/>
              <w:jc w:val="center"/>
              <w:rPr>
                <w:rFonts w:cs="Arial"/>
                <w:b/>
                <w:bCs/>
                <w:sz w:val="18"/>
                <w:szCs w:val="20"/>
              </w:rPr>
            </w:pPr>
            <w:r>
              <w:rPr>
                <w:b/>
                <w:sz w:val="18"/>
              </w:rPr>
              <w:t>(</w:t>
            </w:r>
            <w:r w:rsidR="00766DCD">
              <w:rPr>
                <w:b/>
                <w:sz w:val="18"/>
              </w:rPr>
              <w:t xml:space="preserve">thousand </w:t>
            </w:r>
            <w:r>
              <w:rPr>
                <w:b/>
                <w:sz w:val="18"/>
              </w:rPr>
              <w:t>PLN)</w:t>
            </w:r>
          </w:p>
        </w:tc>
        <w:tc>
          <w:tcPr>
            <w:tcW w:w="977" w:type="pct"/>
            <w:shd w:val="clear" w:color="auto" w:fill="D9D9D9" w:themeFill="background1" w:themeFillShade="D9"/>
            <w:vAlign w:val="center"/>
          </w:tcPr>
          <w:p w:rsidR="004B4CA1" w:rsidRDefault="009A220A" w:rsidP="004B4CA1">
            <w:pPr>
              <w:keepNext/>
              <w:keepLines/>
              <w:autoSpaceDE w:val="0"/>
              <w:autoSpaceDN w:val="0"/>
              <w:adjustRightInd w:val="0"/>
              <w:jc w:val="center"/>
              <w:rPr>
                <w:rFonts w:cs="Arial"/>
                <w:b/>
                <w:bCs/>
                <w:sz w:val="18"/>
                <w:szCs w:val="20"/>
              </w:rPr>
            </w:pPr>
            <w:r>
              <w:rPr>
                <w:b/>
                <w:sz w:val="18"/>
              </w:rPr>
              <w:t xml:space="preserve">1H </w:t>
            </w:r>
            <w:r w:rsidR="00B26839">
              <w:rPr>
                <w:b/>
                <w:sz w:val="18"/>
              </w:rPr>
              <w:t>2013</w:t>
            </w:r>
          </w:p>
          <w:p w:rsidR="00940552" w:rsidRPr="004B4CA1" w:rsidRDefault="00940552" w:rsidP="00766DCD">
            <w:pPr>
              <w:keepNext/>
              <w:keepLines/>
              <w:autoSpaceDE w:val="0"/>
              <w:autoSpaceDN w:val="0"/>
              <w:adjustRightInd w:val="0"/>
              <w:jc w:val="center"/>
              <w:rPr>
                <w:rFonts w:cs="Arial"/>
                <w:b/>
                <w:bCs/>
                <w:sz w:val="18"/>
                <w:szCs w:val="20"/>
              </w:rPr>
            </w:pPr>
            <w:r>
              <w:rPr>
                <w:b/>
                <w:sz w:val="18"/>
              </w:rPr>
              <w:t>(</w:t>
            </w:r>
            <w:r w:rsidR="00766DCD">
              <w:rPr>
                <w:b/>
                <w:sz w:val="18"/>
              </w:rPr>
              <w:t xml:space="preserve">thousand </w:t>
            </w:r>
            <w:r>
              <w:rPr>
                <w:b/>
                <w:sz w:val="18"/>
              </w:rPr>
              <w:t>PLN)</w:t>
            </w:r>
          </w:p>
        </w:tc>
        <w:tc>
          <w:tcPr>
            <w:tcW w:w="687" w:type="pct"/>
            <w:shd w:val="clear" w:color="auto" w:fill="D9D9D9" w:themeFill="background1" w:themeFillShade="D9"/>
            <w:vAlign w:val="center"/>
          </w:tcPr>
          <w:p w:rsidR="00940552" w:rsidRPr="004B4CA1" w:rsidRDefault="00766DCD" w:rsidP="009A220A">
            <w:pPr>
              <w:keepNext/>
              <w:keepLines/>
              <w:autoSpaceDE w:val="0"/>
              <w:autoSpaceDN w:val="0"/>
              <w:adjustRightInd w:val="0"/>
              <w:jc w:val="center"/>
              <w:rPr>
                <w:rFonts w:cs="Arial"/>
                <w:b/>
                <w:bCs/>
                <w:sz w:val="18"/>
                <w:szCs w:val="20"/>
              </w:rPr>
            </w:pPr>
            <w:r>
              <w:rPr>
                <w:b/>
                <w:sz w:val="18"/>
              </w:rPr>
              <w:t xml:space="preserve">% </w:t>
            </w:r>
            <w:r w:rsidR="00940552">
              <w:rPr>
                <w:b/>
                <w:sz w:val="18"/>
              </w:rPr>
              <w:t>change</w:t>
            </w:r>
          </w:p>
        </w:tc>
      </w:tr>
      <w:tr w:rsidR="000A7A9F" w:rsidRPr="004B4CA1" w:rsidTr="000A7A9F">
        <w:trPr>
          <w:cantSplit/>
          <w:trHeight w:hRule="exact" w:val="397"/>
          <w:tblCellSpacing w:w="20" w:type="dxa"/>
          <w:jc w:val="center"/>
        </w:trPr>
        <w:tc>
          <w:tcPr>
            <w:tcW w:w="2296" w:type="pct"/>
            <w:vAlign w:val="center"/>
          </w:tcPr>
          <w:p w:rsidR="000A7A9F" w:rsidRPr="004B4CA1" w:rsidRDefault="000A7A9F" w:rsidP="008B1AF7">
            <w:pPr>
              <w:rPr>
                <w:rFonts w:cs="Arial"/>
                <w:sz w:val="18"/>
                <w:szCs w:val="18"/>
              </w:rPr>
            </w:pPr>
            <w:r>
              <w:rPr>
                <w:sz w:val="18"/>
              </w:rPr>
              <w:t>Net sales income</w:t>
            </w:r>
          </w:p>
        </w:tc>
        <w:tc>
          <w:tcPr>
            <w:tcW w:w="935" w:type="pct"/>
            <w:vAlign w:val="center"/>
          </w:tcPr>
          <w:p w:rsidR="000A7A9F" w:rsidRPr="000F5848" w:rsidRDefault="00CB7B6C" w:rsidP="002A4F37">
            <w:pPr>
              <w:ind w:right="200"/>
              <w:jc w:val="right"/>
              <w:rPr>
                <w:rFonts w:cs="Arial"/>
                <w:sz w:val="18"/>
                <w:szCs w:val="18"/>
              </w:rPr>
            </w:pPr>
            <w:r>
              <w:rPr>
                <w:rFonts w:cs="Arial"/>
                <w:sz w:val="18"/>
                <w:szCs w:val="18"/>
              </w:rPr>
              <w:t>855,</w:t>
            </w:r>
            <w:r w:rsidR="000A7A9F">
              <w:rPr>
                <w:rFonts w:cs="Arial"/>
                <w:sz w:val="18"/>
                <w:szCs w:val="18"/>
              </w:rPr>
              <w:t>890</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643,</w:t>
            </w:r>
            <w:r w:rsidR="000A7A9F">
              <w:rPr>
                <w:rFonts w:cs="Arial"/>
                <w:sz w:val="18"/>
                <w:szCs w:val="18"/>
              </w:rPr>
              <w:t>560</w:t>
            </w:r>
          </w:p>
        </w:tc>
        <w:tc>
          <w:tcPr>
            <w:tcW w:w="687" w:type="pct"/>
            <w:vAlign w:val="center"/>
          </w:tcPr>
          <w:p w:rsidR="000A7A9F" w:rsidRPr="000F5848" w:rsidRDefault="00E31482" w:rsidP="002A4F37">
            <w:pPr>
              <w:ind w:right="200"/>
              <w:jc w:val="right"/>
              <w:rPr>
                <w:rFonts w:cs="Arial"/>
                <w:sz w:val="18"/>
                <w:szCs w:val="18"/>
              </w:rPr>
            </w:pPr>
            <w:r>
              <w:rPr>
                <w:rFonts w:cs="Arial"/>
                <w:sz w:val="18"/>
                <w:szCs w:val="18"/>
              </w:rPr>
              <w:t>33.</w:t>
            </w:r>
            <w:r w:rsidR="000A7A9F">
              <w:rPr>
                <w:rFonts w:cs="Arial"/>
                <w:sz w:val="18"/>
                <w:szCs w:val="18"/>
              </w:rPr>
              <w:t>0</w:t>
            </w:r>
          </w:p>
        </w:tc>
      </w:tr>
      <w:tr w:rsidR="000A7A9F" w:rsidRPr="004B4CA1" w:rsidTr="000A7A9F">
        <w:trPr>
          <w:cantSplit/>
          <w:trHeight w:hRule="exact" w:val="397"/>
          <w:tblCellSpacing w:w="20" w:type="dxa"/>
          <w:jc w:val="center"/>
        </w:trPr>
        <w:tc>
          <w:tcPr>
            <w:tcW w:w="2296" w:type="pct"/>
            <w:vAlign w:val="center"/>
          </w:tcPr>
          <w:p w:rsidR="000A7A9F" w:rsidRPr="004B4CA1" w:rsidRDefault="000A7A9F" w:rsidP="008B1AF7">
            <w:pPr>
              <w:rPr>
                <w:rFonts w:cs="Arial"/>
                <w:sz w:val="18"/>
                <w:szCs w:val="18"/>
              </w:rPr>
            </w:pPr>
            <w:r>
              <w:rPr>
                <w:sz w:val="18"/>
              </w:rPr>
              <w:t>Gross sales income</w:t>
            </w:r>
          </w:p>
        </w:tc>
        <w:tc>
          <w:tcPr>
            <w:tcW w:w="935" w:type="pct"/>
            <w:vAlign w:val="center"/>
          </w:tcPr>
          <w:p w:rsidR="000A7A9F" w:rsidRPr="000F5848" w:rsidRDefault="00CB7B6C" w:rsidP="002A4F37">
            <w:pPr>
              <w:ind w:right="200"/>
              <w:jc w:val="right"/>
              <w:rPr>
                <w:rFonts w:cs="Arial"/>
                <w:sz w:val="18"/>
                <w:szCs w:val="18"/>
              </w:rPr>
            </w:pPr>
            <w:r>
              <w:rPr>
                <w:rFonts w:cs="Arial"/>
                <w:sz w:val="18"/>
                <w:szCs w:val="18"/>
              </w:rPr>
              <w:t>474,</w:t>
            </w:r>
            <w:r w:rsidR="000A7A9F">
              <w:rPr>
                <w:rFonts w:cs="Arial"/>
                <w:sz w:val="18"/>
                <w:szCs w:val="18"/>
              </w:rPr>
              <w:t>492</w:t>
            </w:r>
          </w:p>
        </w:tc>
        <w:tc>
          <w:tcPr>
            <w:tcW w:w="977" w:type="pct"/>
            <w:vAlign w:val="center"/>
          </w:tcPr>
          <w:p w:rsidR="000A7A9F" w:rsidRPr="000F5848" w:rsidRDefault="000A7A9F" w:rsidP="002A4F37">
            <w:pPr>
              <w:ind w:right="200"/>
              <w:jc w:val="right"/>
              <w:rPr>
                <w:rFonts w:cs="Arial"/>
                <w:sz w:val="18"/>
                <w:szCs w:val="18"/>
              </w:rPr>
            </w:pPr>
            <w:r>
              <w:rPr>
                <w:rFonts w:cs="Arial"/>
                <w:sz w:val="18"/>
                <w:szCs w:val="18"/>
              </w:rPr>
              <w:t>334</w:t>
            </w:r>
            <w:r w:rsidR="00CB7B6C">
              <w:rPr>
                <w:rFonts w:cs="Arial"/>
                <w:sz w:val="18"/>
                <w:szCs w:val="18"/>
              </w:rPr>
              <w:t>,</w:t>
            </w:r>
            <w:r>
              <w:rPr>
                <w:rFonts w:cs="Arial"/>
                <w:sz w:val="18"/>
                <w:szCs w:val="18"/>
              </w:rPr>
              <w:t>470</w:t>
            </w:r>
          </w:p>
        </w:tc>
        <w:tc>
          <w:tcPr>
            <w:tcW w:w="687" w:type="pct"/>
            <w:vAlign w:val="center"/>
          </w:tcPr>
          <w:p w:rsidR="000A7A9F" w:rsidRPr="000F5848" w:rsidRDefault="000A7A9F" w:rsidP="002A4F37">
            <w:pPr>
              <w:ind w:right="200"/>
              <w:jc w:val="right"/>
              <w:rPr>
                <w:rFonts w:cs="Arial"/>
                <w:sz w:val="18"/>
                <w:szCs w:val="18"/>
              </w:rPr>
            </w:pPr>
            <w:r>
              <w:rPr>
                <w:rFonts w:cs="Arial"/>
                <w:sz w:val="18"/>
                <w:szCs w:val="18"/>
              </w:rPr>
              <w:t>41</w:t>
            </w:r>
            <w:r w:rsidR="00E31482">
              <w:rPr>
                <w:rFonts w:cs="Arial"/>
                <w:sz w:val="18"/>
                <w:szCs w:val="18"/>
              </w:rPr>
              <w:t>.</w:t>
            </w:r>
            <w:r>
              <w:rPr>
                <w:rFonts w:cs="Arial"/>
                <w:sz w:val="18"/>
                <w:szCs w:val="18"/>
              </w:rPr>
              <w:t>9</w:t>
            </w:r>
          </w:p>
        </w:tc>
      </w:tr>
      <w:tr w:rsidR="000A7A9F" w:rsidRPr="004B4CA1" w:rsidTr="000A7A9F">
        <w:trPr>
          <w:cantSplit/>
          <w:trHeight w:hRule="exact" w:val="397"/>
          <w:tblCellSpacing w:w="20" w:type="dxa"/>
          <w:jc w:val="center"/>
        </w:trPr>
        <w:tc>
          <w:tcPr>
            <w:tcW w:w="2296" w:type="pct"/>
            <w:vAlign w:val="center"/>
          </w:tcPr>
          <w:p w:rsidR="000A7A9F" w:rsidRPr="004B4CA1" w:rsidRDefault="000A7A9F" w:rsidP="008B1AF7">
            <w:pPr>
              <w:rPr>
                <w:rFonts w:cs="Arial"/>
                <w:sz w:val="18"/>
                <w:szCs w:val="18"/>
              </w:rPr>
            </w:pPr>
            <w:r>
              <w:rPr>
                <w:sz w:val="18"/>
              </w:rPr>
              <w:t>Administrative and sales cost</w:t>
            </w:r>
          </w:p>
        </w:tc>
        <w:tc>
          <w:tcPr>
            <w:tcW w:w="935" w:type="pct"/>
            <w:vAlign w:val="center"/>
          </w:tcPr>
          <w:p w:rsidR="000A7A9F" w:rsidRPr="000F5848" w:rsidRDefault="000A7A9F" w:rsidP="002A4F37">
            <w:pPr>
              <w:ind w:right="200"/>
              <w:jc w:val="right"/>
              <w:rPr>
                <w:rFonts w:cs="Arial"/>
                <w:sz w:val="18"/>
                <w:szCs w:val="18"/>
              </w:rPr>
            </w:pPr>
            <w:r>
              <w:rPr>
                <w:rFonts w:cs="Arial"/>
                <w:sz w:val="18"/>
                <w:szCs w:val="18"/>
              </w:rPr>
              <w:t>37</w:t>
            </w:r>
            <w:r w:rsidR="00CB7B6C">
              <w:rPr>
                <w:rFonts w:cs="Arial"/>
                <w:sz w:val="18"/>
                <w:szCs w:val="18"/>
              </w:rPr>
              <w:t>2,</w:t>
            </w:r>
            <w:r>
              <w:rPr>
                <w:rFonts w:cs="Arial"/>
                <w:sz w:val="18"/>
                <w:szCs w:val="18"/>
              </w:rPr>
              <w:t>559</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290,</w:t>
            </w:r>
            <w:r w:rsidR="000A7A9F">
              <w:rPr>
                <w:rFonts w:cs="Arial"/>
                <w:sz w:val="18"/>
                <w:szCs w:val="18"/>
              </w:rPr>
              <w:t>284</w:t>
            </w:r>
          </w:p>
        </w:tc>
        <w:tc>
          <w:tcPr>
            <w:tcW w:w="687" w:type="pct"/>
            <w:vAlign w:val="center"/>
          </w:tcPr>
          <w:p w:rsidR="000A7A9F" w:rsidRPr="000F5848" w:rsidRDefault="00E31482" w:rsidP="002A4F37">
            <w:pPr>
              <w:ind w:right="200"/>
              <w:jc w:val="right"/>
              <w:rPr>
                <w:rFonts w:cs="Arial"/>
                <w:sz w:val="18"/>
                <w:szCs w:val="18"/>
              </w:rPr>
            </w:pPr>
            <w:r>
              <w:rPr>
                <w:rFonts w:cs="Arial"/>
                <w:sz w:val="18"/>
                <w:szCs w:val="18"/>
              </w:rPr>
              <w:t>28.</w:t>
            </w:r>
            <w:r w:rsidR="000A7A9F">
              <w:rPr>
                <w:rFonts w:cs="Arial"/>
                <w:sz w:val="18"/>
                <w:szCs w:val="18"/>
              </w:rPr>
              <w:t>3</w:t>
            </w:r>
          </w:p>
        </w:tc>
      </w:tr>
      <w:tr w:rsidR="000A7A9F" w:rsidRPr="004B4CA1" w:rsidTr="000A7A9F">
        <w:trPr>
          <w:cantSplit/>
          <w:trHeight w:hRule="exact" w:val="397"/>
          <w:tblCellSpacing w:w="20" w:type="dxa"/>
          <w:jc w:val="center"/>
        </w:trPr>
        <w:tc>
          <w:tcPr>
            <w:tcW w:w="2296" w:type="pct"/>
            <w:vAlign w:val="center"/>
          </w:tcPr>
          <w:p w:rsidR="000A7A9F" w:rsidRPr="004B4CA1" w:rsidRDefault="000A7A9F" w:rsidP="00C97480">
            <w:pPr>
              <w:rPr>
                <w:rFonts w:cs="Arial"/>
                <w:sz w:val="18"/>
                <w:szCs w:val="18"/>
              </w:rPr>
            </w:pPr>
            <w:r>
              <w:rPr>
                <w:sz w:val="18"/>
              </w:rPr>
              <w:t>Profit on operating activity</w:t>
            </w:r>
          </w:p>
        </w:tc>
        <w:tc>
          <w:tcPr>
            <w:tcW w:w="935" w:type="pct"/>
            <w:vAlign w:val="center"/>
          </w:tcPr>
          <w:p w:rsidR="000A7A9F" w:rsidRPr="000F5848" w:rsidRDefault="000A7A9F" w:rsidP="002A4F37">
            <w:pPr>
              <w:ind w:right="200"/>
              <w:jc w:val="right"/>
              <w:rPr>
                <w:rFonts w:cs="Arial"/>
                <w:sz w:val="18"/>
                <w:szCs w:val="18"/>
              </w:rPr>
            </w:pPr>
            <w:r>
              <w:rPr>
                <w:rFonts w:cs="Arial"/>
                <w:sz w:val="18"/>
                <w:szCs w:val="18"/>
              </w:rPr>
              <w:t>9</w:t>
            </w:r>
            <w:r w:rsidR="00CB7B6C">
              <w:rPr>
                <w:rFonts w:cs="Arial"/>
                <w:sz w:val="18"/>
                <w:szCs w:val="18"/>
              </w:rPr>
              <w:t>2,</w:t>
            </w:r>
            <w:r>
              <w:rPr>
                <w:rFonts w:cs="Arial"/>
                <w:sz w:val="18"/>
                <w:szCs w:val="18"/>
              </w:rPr>
              <w:t>208</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39,</w:t>
            </w:r>
            <w:r w:rsidR="000A7A9F">
              <w:rPr>
                <w:rFonts w:cs="Arial"/>
                <w:sz w:val="18"/>
                <w:szCs w:val="18"/>
              </w:rPr>
              <w:t>166</w:t>
            </w:r>
          </w:p>
        </w:tc>
        <w:tc>
          <w:tcPr>
            <w:tcW w:w="687" w:type="pct"/>
            <w:vAlign w:val="center"/>
          </w:tcPr>
          <w:p w:rsidR="000A7A9F" w:rsidRPr="000F5848" w:rsidRDefault="000A7A9F" w:rsidP="002A4F37">
            <w:pPr>
              <w:ind w:right="200"/>
              <w:jc w:val="right"/>
              <w:rPr>
                <w:rFonts w:cs="Arial"/>
                <w:sz w:val="18"/>
                <w:szCs w:val="18"/>
              </w:rPr>
            </w:pPr>
            <w:r>
              <w:rPr>
                <w:rFonts w:cs="Arial"/>
                <w:sz w:val="18"/>
                <w:szCs w:val="18"/>
              </w:rPr>
              <w:t>135</w:t>
            </w:r>
            <w:r w:rsidR="00E31482">
              <w:rPr>
                <w:rFonts w:cs="Arial"/>
                <w:sz w:val="18"/>
                <w:szCs w:val="18"/>
              </w:rPr>
              <w:t>.</w:t>
            </w:r>
            <w:r>
              <w:rPr>
                <w:rFonts w:cs="Arial"/>
                <w:sz w:val="18"/>
                <w:szCs w:val="18"/>
              </w:rPr>
              <w:t>4</w:t>
            </w:r>
          </w:p>
        </w:tc>
      </w:tr>
      <w:tr w:rsidR="000A7A9F" w:rsidRPr="004B4CA1" w:rsidTr="000A7A9F">
        <w:trPr>
          <w:cantSplit/>
          <w:trHeight w:hRule="exact" w:val="397"/>
          <w:tblCellSpacing w:w="20" w:type="dxa"/>
          <w:jc w:val="center"/>
        </w:trPr>
        <w:tc>
          <w:tcPr>
            <w:tcW w:w="2296" w:type="pct"/>
            <w:vAlign w:val="center"/>
          </w:tcPr>
          <w:p w:rsidR="000A7A9F" w:rsidRPr="004B4CA1" w:rsidRDefault="000A7A9F" w:rsidP="008B1AF7">
            <w:pPr>
              <w:rPr>
                <w:rFonts w:cs="Arial"/>
                <w:sz w:val="18"/>
                <w:szCs w:val="18"/>
              </w:rPr>
            </w:pPr>
            <w:r>
              <w:rPr>
                <w:sz w:val="18"/>
              </w:rPr>
              <w:t>gross profit</w:t>
            </w:r>
          </w:p>
        </w:tc>
        <w:tc>
          <w:tcPr>
            <w:tcW w:w="935" w:type="pct"/>
            <w:vAlign w:val="center"/>
          </w:tcPr>
          <w:p w:rsidR="000A7A9F" w:rsidRPr="000F5848" w:rsidRDefault="000A7A9F" w:rsidP="002A4F37">
            <w:pPr>
              <w:ind w:right="200"/>
              <w:jc w:val="right"/>
              <w:rPr>
                <w:rFonts w:cs="Arial"/>
                <w:sz w:val="18"/>
                <w:szCs w:val="18"/>
              </w:rPr>
            </w:pPr>
            <w:r>
              <w:rPr>
                <w:rFonts w:cs="Arial"/>
                <w:sz w:val="18"/>
                <w:szCs w:val="18"/>
              </w:rPr>
              <w:t>8</w:t>
            </w:r>
            <w:r w:rsidR="00CB7B6C">
              <w:rPr>
                <w:rFonts w:cs="Arial"/>
                <w:sz w:val="18"/>
                <w:szCs w:val="18"/>
              </w:rPr>
              <w:t>4,</w:t>
            </w:r>
            <w:r>
              <w:rPr>
                <w:rFonts w:cs="Arial"/>
                <w:sz w:val="18"/>
                <w:szCs w:val="18"/>
              </w:rPr>
              <w:t>703</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33,</w:t>
            </w:r>
            <w:r w:rsidR="000A7A9F">
              <w:rPr>
                <w:rFonts w:cs="Arial"/>
                <w:sz w:val="18"/>
                <w:szCs w:val="18"/>
              </w:rPr>
              <w:t>681</w:t>
            </w:r>
          </w:p>
        </w:tc>
        <w:tc>
          <w:tcPr>
            <w:tcW w:w="687" w:type="pct"/>
            <w:vAlign w:val="center"/>
          </w:tcPr>
          <w:p w:rsidR="000A7A9F" w:rsidRPr="000F5848" w:rsidRDefault="000A7A9F" w:rsidP="002A4F37">
            <w:pPr>
              <w:ind w:right="200"/>
              <w:jc w:val="right"/>
              <w:rPr>
                <w:rFonts w:cs="Arial"/>
                <w:sz w:val="18"/>
                <w:szCs w:val="18"/>
              </w:rPr>
            </w:pPr>
            <w:r>
              <w:rPr>
                <w:rFonts w:cs="Arial"/>
                <w:sz w:val="18"/>
                <w:szCs w:val="18"/>
              </w:rPr>
              <w:t>151</w:t>
            </w:r>
            <w:r w:rsidR="00E31482">
              <w:rPr>
                <w:rFonts w:cs="Arial"/>
                <w:sz w:val="18"/>
                <w:szCs w:val="18"/>
              </w:rPr>
              <w:t>.</w:t>
            </w:r>
            <w:r>
              <w:rPr>
                <w:rFonts w:cs="Arial"/>
                <w:sz w:val="18"/>
                <w:szCs w:val="18"/>
              </w:rPr>
              <w:t>5</w:t>
            </w:r>
          </w:p>
        </w:tc>
      </w:tr>
      <w:tr w:rsidR="000A7A9F" w:rsidRPr="004B4CA1" w:rsidTr="000A7A9F">
        <w:trPr>
          <w:cantSplit/>
          <w:trHeight w:hRule="exact" w:val="397"/>
          <w:tblCellSpacing w:w="20" w:type="dxa"/>
          <w:jc w:val="center"/>
        </w:trPr>
        <w:tc>
          <w:tcPr>
            <w:tcW w:w="2296" w:type="pct"/>
            <w:vAlign w:val="center"/>
          </w:tcPr>
          <w:p w:rsidR="000A7A9F" w:rsidRPr="004B4CA1" w:rsidRDefault="000A7A9F" w:rsidP="008B1AF7">
            <w:pPr>
              <w:rPr>
                <w:rFonts w:cs="Arial"/>
                <w:sz w:val="18"/>
                <w:szCs w:val="18"/>
              </w:rPr>
            </w:pPr>
            <w:r>
              <w:rPr>
                <w:sz w:val="18"/>
              </w:rPr>
              <w:t>net profit</w:t>
            </w:r>
          </w:p>
        </w:tc>
        <w:tc>
          <w:tcPr>
            <w:tcW w:w="935" w:type="pct"/>
            <w:vAlign w:val="center"/>
          </w:tcPr>
          <w:p w:rsidR="000A7A9F" w:rsidRPr="00E41B9E" w:rsidRDefault="000A7A9F" w:rsidP="002A4F37">
            <w:pPr>
              <w:ind w:right="200"/>
              <w:jc w:val="right"/>
              <w:rPr>
                <w:rFonts w:cs="Arial"/>
                <w:sz w:val="18"/>
                <w:szCs w:val="18"/>
              </w:rPr>
            </w:pPr>
            <w:r>
              <w:rPr>
                <w:rFonts w:cs="Arial"/>
                <w:sz w:val="18"/>
                <w:szCs w:val="18"/>
              </w:rPr>
              <w:t>70</w:t>
            </w:r>
            <w:r w:rsidR="00CB7B6C">
              <w:rPr>
                <w:rFonts w:cs="Arial"/>
                <w:sz w:val="18"/>
                <w:szCs w:val="18"/>
              </w:rPr>
              <w:t>,</w:t>
            </w:r>
            <w:r>
              <w:rPr>
                <w:rFonts w:cs="Arial"/>
                <w:sz w:val="18"/>
                <w:szCs w:val="18"/>
              </w:rPr>
              <w:t>173</w:t>
            </w:r>
          </w:p>
        </w:tc>
        <w:tc>
          <w:tcPr>
            <w:tcW w:w="977" w:type="pct"/>
            <w:vAlign w:val="center"/>
          </w:tcPr>
          <w:p w:rsidR="000A7A9F" w:rsidRPr="00E41B9E" w:rsidRDefault="00CB7B6C" w:rsidP="002A4F37">
            <w:pPr>
              <w:ind w:right="200"/>
              <w:jc w:val="right"/>
              <w:rPr>
                <w:rFonts w:cs="Arial"/>
                <w:sz w:val="18"/>
                <w:szCs w:val="18"/>
              </w:rPr>
            </w:pPr>
            <w:r>
              <w:rPr>
                <w:rFonts w:cs="Arial"/>
                <w:sz w:val="18"/>
                <w:szCs w:val="18"/>
              </w:rPr>
              <w:t>29,</w:t>
            </w:r>
            <w:r w:rsidR="000A7A9F">
              <w:rPr>
                <w:rFonts w:cs="Arial"/>
                <w:sz w:val="18"/>
                <w:szCs w:val="18"/>
              </w:rPr>
              <w:t>503</w:t>
            </w:r>
          </w:p>
        </w:tc>
        <w:tc>
          <w:tcPr>
            <w:tcW w:w="687" w:type="pct"/>
            <w:vAlign w:val="center"/>
          </w:tcPr>
          <w:p w:rsidR="000A7A9F" w:rsidRPr="00E41B9E" w:rsidRDefault="000A7A9F" w:rsidP="002A4F37">
            <w:pPr>
              <w:ind w:right="200"/>
              <w:jc w:val="right"/>
              <w:rPr>
                <w:rFonts w:cs="Arial"/>
                <w:sz w:val="18"/>
                <w:szCs w:val="18"/>
              </w:rPr>
            </w:pPr>
            <w:r>
              <w:rPr>
                <w:rFonts w:cs="Arial"/>
                <w:sz w:val="18"/>
                <w:szCs w:val="18"/>
              </w:rPr>
              <w:t>137</w:t>
            </w:r>
            <w:r w:rsidR="00E31482">
              <w:rPr>
                <w:rFonts w:cs="Arial"/>
                <w:sz w:val="18"/>
                <w:szCs w:val="18"/>
              </w:rPr>
              <w:t>.</w:t>
            </w:r>
            <w:r>
              <w:rPr>
                <w:rFonts w:cs="Arial"/>
                <w:sz w:val="18"/>
                <w:szCs w:val="18"/>
              </w:rPr>
              <w:t>9</w:t>
            </w:r>
          </w:p>
        </w:tc>
      </w:tr>
      <w:tr w:rsidR="000A7A9F" w:rsidRPr="004B4CA1" w:rsidTr="000A7A9F">
        <w:trPr>
          <w:cantSplit/>
          <w:trHeight w:hRule="exact" w:val="397"/>
          <w:tblCellSpacing w:w="20" w:type="dxa"/>
          <w:jc w:val="center"/>
        </w:trPr>
        <w:tc>
          <w:tcPr>
            <w:tcW w:w="2296" w:type="pct"/>
            <w:vAlign w:val="center"/>
          </w:tcPr>
          <w:p w:rsidR="000A7A9F" w:rsidRDefault="000A7A9F" w:rsidP="008B1AF7">
            <w:pPr>
              <w:rPr>
                <w:sz w:val="18"/>
              </w:rPr>
            </w:pPr>
            <w:r>
              <w:rPr>
                <w:sz w:val="18"/>
              </w:rPr>
              <w:t>Equity</w:t>
            </w:r>
          </w:p>
        </w:tc>
        <w:tc>
          <w:tcPr>
            <w:tcW w:w="935" w:type="pct"/>
            <w:vAlign w:val="center"/>
          </w:tcPr>
          <w:p w:rsidR="000A7A9F" w:rsidRPr="000F5848" w:rsidRDefault="000A7A9F" w:rsidP="002A4F37">
            <w:pPr>
              <w:ind w:right="200"/>
              <w:jc w:val="right"/>
              <w:rPr>
                <w:rFonts w:cs="Arial"/>
                <w:sz w:val="18"/>
                <w:szCs w:val="18"/>
              </w:rPr>
            </w:pPr>
            <w:r>
              <w:rPr>
                <w:rFonts w:cs="Arial"/>
                <w:sz w:val="18"/>
                <w:szCs w:val="18"/>
              </w:rPr>
              <w:t>6</w:t>
            </w:r>
            <w:r w:rsidR="00CB7B6C">
              <w:rPr>
                <w:rFonts w:cs="Arial"/>
                <w:sz w:val="18"/>
                <w:szCs w:val="18"/>
              </w:rPr>
              <w:t>01,</w:t>
            </w:r>
            <w:r>
              <w:rPr>
                <w:rFonts w:cs="Arial"/>
                <w:sz w:val="18"/>
                <w:szCs w:val="18"/>
              </w:rPr>
              <w:t>993</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497,</w:t>
            </w:r>
            <w:r w:rsidR="000A7A9F">
              <w:rPr>
                <w:rFonts w:cs="Arial"/>
                <w:sz w:val="18"/>
                <w:szCs w:val="18"/>
              </w:rPr>
              <w:t>669</w:t>
            </w:r>
          </w:p>
        </w:tc>
        <w:tc>
          <w:tcPr>
            <w:tcW w:w="687" w:type="pct"/>
            <w:vAlign w:val="center"/>
          </w:tcPr>
          <w:p w:rsidR="000A7A9F" w:rsidRPr="000F5848" w:rsidRDefault="00E31482" w:rsidP="002A4F37">
            <w:pPr>
              <w:ind w:right="200"/>
              <w:jc w:val="right"/>
              <w:rPr>
                <w:rFonts w:cs="Arial"/>
                <w:sz w:val="18"/>
                <w:szCs w:val="18"/>
              </w:rPr>
            </w:pPr>
            <w:r>
              <w:rPr>
                <w:rFonts w:cs="Arial"/>
                <w:sz w:val="18"/>
                <w:szCs w:val="18"/>
              </w:rPr>
              <w:t>21.</w:t>
            </w:r>
            <w:r w:rsidR="000A7A9F">
              <w:rPr>
                <w:rFonts w:cs="Arial"/>
                <w:sz w:val="18"/>
                <w:szCs w:val="18"/>
              </w:rPr>
              <w:t>0</w:t>
            </w:r>
          </w:p>
        </w:tc>
      </w:tr>
      <w:tr w:rsidR="000A7A9F" w:rsidRPr="004B4CA1" w:rsidTr="000A7A9F">
        <w:trPr>
          <w:cantSplit/>
          <w:trHeight w:hRule="exact" w:val="397"/>
          <w:tblCellSpacing w:w="20" w:type="dxa"/>
          <w:jc w:val="center"/>
        </w:trPr>
        <w:tc>
          <w:tcPr>
            <w:tcW w:w="2296" w:type="pct"/>
            <w:vAlign w:val="center"/>
          </w:tcPr>
          <w:p w:rsidR="000A7A9F" w:rsidRDefault="000A7A9F" w:rsidP="008B1AF7">
            <w:pPr>
              <w:rPr>
                <w:sz w:val="18"/>
              </w:rPr>
            </w:pPr>
            <w:r>
              <w:rPr>
                <w:sz w:val="18"/>
              </w:rPr>
              <w:t>Liabilities and provisions</w:t>
            </w:r>
          </w:p>
        </w:tc>
        <w:tc>
          <w:tcPr>
            <w:tcW w:w="935" w:type="pct"/>
            <w:vAlign w:val="center"/>
          </w:tcPr>
          <w:p w:rsidR="000A7A9F" w:rsidRPr="000F5848" w:rsidRDefault="00CB7B6C" w:rsidP="002A4F37">
            <w:pPr>
              <w:ind w:right="200"/>
              <w:jc w:val="right"/>
              <w:rPr>
                <w:rFonts w:cs="Arial"/>
                <w:sz w:val="18"/>
                <w:szCs w:val="18"/>
              </w:rPr>
            </w:pPr>
            <w:r>
              <w:rPr>
                <w:rFonts w:cs="Arial"/>
                <w:sz w:val="18"/>
                <w:szCs w:val="18"/>
              </w:rPr>
              <w:t>1,068,</w:t>
            </w:r>
            <w:r w:rsidR="000A7A9F">
              <w:rPr>
                <w:rFonts w:cs="Arial"/>
                <w:sz w:val="18"/>
                <w:szCs w:val="18"/>
              </w:rPr>
              <w:t>993</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507,</w:t>
            </w:r>
            <w:r w:rsidR="000A7A9F">
              <w:rPr>
                <w:rFonts w:cs="Arial"/>
                <w:sz w:val="18"/>
                <w:szCs w:val="18"/>
              </w:rPr>
              <w:t>778</w:t>
            </w:r>
          </w:p>
        </w:tc>
        <w:tc>
          <w:tcPr>
            <w:tcW w:w="687" w:type="pct"/>
            <w:vAlign w:val="center"/>
          </w:tcPr>
          <w:p w:rsidR="000A7A9F" w:rsidRPr="00A66F82" w:rsidRDefault="00E31482" w:rsidP="002A4F37">
            <w:pPr>
              <w:ind w:right="200"/>
              <w:jc w:val="right"/>
              <w:rPr>
                <w:rFonts w:cs="Arial"/>
                <w:sz w:val="18"/>
                <w:szCs w:val="18"/>
              </w:rPr>
            </w:pPr>
            <w:r>
              <w:rPr>
                <w:rFonts w:cs="Arial"/>
                <w:sz w:val="18"/>
                <w:szCs w:val="18"/>
              </w:rPr>
              <w:t>110.</w:t>
            </w:r>
            <w:r w:rsidR="000A7A9F" w:rsidRPr="00A66F82">
              <w:rPr>
                <w:rFonts w:cs="Arial"/>
                <w:sz w:val="18"/>
                <w:szCs w:val="18"/>
              </w:rPr>
              <w:t>5</w:t>
            </w:r>
          </w:p>
        </w:tc>
      </w:tr>
      <w:tr w:rsidR="000A7A9F" w:rsidRPr="004B4CA1" w:rsidTr="000A7A9F">
        <w:trPr>
          <w:cantSplit/>
          <w:trHeight w:hRule="exact" w:val="397"/>
          <w:tblCellSpacing w:w="20" w:type="dxa"/>
          <w:jc w:val="center"/>
        </w:trPr>
        <w:tc>
          <w:tcPr>
            <w:tcW w:w="2296" w:type="pct"/>
            <w:vAlign w:val="center"/>
          </w:tcPr>
          <w:p w:rsidR="000A7A9F" w:rsidRDefault="000A7A9F" w:rsidP="008B1AF7">
            <w:pPr>
              <w:rPr>
                <w:sz w:val="18"/>
              </w:rPr>
            </w:pPr>
            <w:r>
              <w:rPr>
                <w:sz w:val="18"/>
              </w:rPr>
              <w:t>Non-current liabilities and non-current provisions</w:t>
            </w:r>
          </w:p>
        </w:tc>
        <w:tc>
          <w:tcPr>
            <w:tcW w:w="935" w:type="pct"/>
            <w:vAlign w:val="center"/>
          </w:tcPr>
          <w:p w:rsidR="000A7A9F" w:rsidRPr="000F5848" w:rsidRDefault="00CB7B6C" w:rsidP="002A4F37">
            <w:pPr>
              <w:ind w:right="200"/>
              <w:jc w:val="right"/>
              <w:rPr>
                <w:rFonts w:cs="Arial"/>
                <w:sz w:val="18"/>
                <w:szCs w:val="18"/>
              </w:rPr>
            </w:pPr>
            <w:r>
              <w:rPr>
                <w:rFonts w:cs="Arial"/>
                <w:sz w:val="18"/>
                <w:szCs w:val="18"/>
              </w:rPr>
              <w:t>278,</w:t>
            </w:r>
            <w:r w:rsidR="000A7A9F">
              <w:rPr>
                <w:rFonts w:cs="Arial"/>
                <w:sz w:val="18"/>
                <w:szCs w:val="18"/>
              </w:rPr>
              <w:t>136</w:t>
            </w:r>
          </w:p>
        </w:tc>
        <w:tc>
          <w:tcPr>
            <w:tcW w:w="977" w:type="pct"/>
            <w:vAlign w:val="center"/>
          </w:tcPr>
          <w:p w:rsidR="000A7A9F" w:rsidRPr="000F5848" w:rsidRDefault="00CB7B6C" w:rsidP="002A4F37">
            <w:pPr>
              <w:ind w:right="200"/>
              <w:jc w:val="right"/>
              <w:rPr>
                <w:rFonts w:cs="Arial"/>
                <w:sz w:val="18"/>
                <w:szCs w:val="18"/>
              </w:rPr>
            </w:pPr>
            <w:r>
              <w:rPr>
                <w:rFonts w:cs="Arial"/>
                <w:sz w:val="18"/>
                <w:szCs w:val="18"/>
              </w:rPr>
              <w:t>175,</w:t>
            </w:r>
            <w:r w:rsidR="000A7A9F">
              <w:rPr>
                <w:rFonts w:cs="Arial"/>
                <w:sz w:val="18"/>
                <w:szCs w:val="18"/>
              </w:rPr>
              <w:t>798</w:t>
            </w:r>
          </w:p>
        </w:tc>
        <w:tc>
          <w:tcPr>
            <w:tcW w:w="687" w:type="pct"/>
            <w:vAlign w:val="center"/>
          </w:tcPr>
          <w:p w:rsidR="000A7A9F" w:rsidRPr="00A66F82" w:rsidRDefault="00E31482" w:rsidP="002A4F37">
            <w:pPr>
              <w:ind w:right="200"/>
              <w:jc w:val="right"/>
              <w:rPr>
                <w:rFonts w:cs="Arial"/>
                <w:sz w:val="18"/>
                <w:szCs w:val="18"/>
              </w:rPr>
            </w:pPr>
            <w:r>
              <w:rPr>
                <w:rFonts w:cs="Arial"/>
                <w:sz w:val="18"/>
                <w:szCs w:val="18"/>
              </w:rPr>
              <w:t>58.</w:t>
            </w:r>
            <w:r w:rsidR="000A7A9F" w:rsidRPr="00A66F82">
              <w:rPr>
                <w:rFonts w:cs="Arial"/>
                <w:sz w:val="18"/>
                <w:szCs w:val="18"/>
              </w:rPr>
              <w:t>2</w:t>
            </w:r>
          </w:p>
        </w:tc>
      </w:tr>
    </w:tbl>
    <w:p w:rsidR="001756DE" w:rsidRPr="004B4CA1" w:rsidRDefault="001756DE">
      <w:pPr>
        <w:spacing w:after="200" w:line="276" w:lineRule="auto"/>
      </w:pPr>
    </w:p>
    <w:p w:rsidR="001756DE" w:rsidRPr="004B4CA1" w:rsidRDefault="001756DE" w:rsidP="001756DE">
      <w:pPr>
        <w:ind w:left="709" w:hanging="567"/>
        <w:rPr>
          <w:b/>
        </w:rPr>
      </w:pPr>
      <w:r>
        <w:rPr>
          <w:b/>
        </w:rPr>
        <w:lastRenderedPageBreak/>
        <w:t>3.</w:t>
      </w:r>
      <w:r>
        <w:tab/>
      </w:r>
      <w:r>
        <w:rPr>
          <w:b/>
        </w:rPr>
        <w:t>The discussion of the basic economic and financial results (...) (cont.)</w:t>
      </w:r>
    </w:p>
    <w:p w:rsidR="001756DE" w:rsidRPr="004B4CA1" w:rsidRDefault="001756DE"/>
    <w:tbl>
      <w:tblPr>
        <w:tblW w:w="493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410"/>
        <w:gridCol w:w="1812"/>
        <w:gridCol w:w="1891"/>
        <w:gridCol w:w="1362"/>
      </w:tblGrid>
      <w:tr w:rsidR="00550B6A" w:rsidRPr="004B4CA1" w:rsidTr="00D27AA8">
        <w:trPr>
          <w:cantSplit/>
          <w:trHeight w:hRule="exact" w:val="692"/>
          <w:tblCellSpacing w:w="20" w:type="dxa"/>
          <w:jc w:val="center"/>
        </w:trPr>
        <w:tc>
          <w:tcPr>
            <w:tcW w:w="2296" w:type="pct"/>
            <w:shd w:val="clear" w:color="auto" w:fill="D9D9D9" w:themeFill="background1" w:themeFillShade="D9"/>
            <w:vAlign w:val="center"/>
          </w:tcPr>
          <w:p w:rsidR="00550B6A" w:rsidRPr="004B4CA1" w:rsidRDefault="00550B6A" w:rsidP="00D3267B">
            <w:pPr>
              <w:keepNext/>
              <w:keepLines/>
              <w:autoSpaceDE w:val="0"/>
              <w:autoSpaceDN w:val="0"/>
              <w:adjustRightInd w:val="0"/>
              <w:jc w:val="center"/>
              <w:rPr>
                <w:rFonts w:cs="Arial"/>
                <w:b/>
                <w:bCs/>
                <w:sz w:val="18"/>
                <w:szCs w:val="20"/>
              </w:rPr>
            </w:pPr>
            <w:r>
              <w:rPr>
                <w:b/>
                <w:sz w:val="18"/>
              </w:rPr>
              <w:t>Amount</w:t>
            </w:r>
          </w:p>
        </w:tc>
        <w:tc>
          <w:tcPr>
            <w:tcW w:w="935" w:type="pct"/>
            <w:shd w:val="clear" w:color="auto" w:fill="D9D9D9" w:themeFill="background1" w:themeFillShade="D9"/>
            <w:vAlign w:val="center"/>
          </w:tcPr>
          <w:p w:rsidR="004B4CA1" w:rsidRDefault="00D96C8D" w:rsidP="004B4CA1">
            <w:pPr>
              <w:keepNext/>
              <w:keepLines/>
              <w:autoSpaceDE w:val="0"/>
              <w:autoSpaceDN w:val="0"/>
              <w:adjustRightInd w:val="0"/>
              <w:jc w:val="center"/>
              <w:rPr>
                <w:rFonts w:cs="Arial"/>
                <w:b/>
                <w:bCs/>
                <w:sz w:val="18"/>
                <w:szCs w:val="20"/>
              </w:rPr>
            </w:pPr>
            <w:r>
              <w:rPr>
                <w:b/>
                <w:sz w:val="18"/>
              </w:rPr>
              <w:t>1H 2014</w:t>
            </w:r>
          </w:p>
          <w:p w:rsidR="00550B6A" w:rsidRPr="004B4CA1" w:rsidRDefault="00550B6A" w:rsidP="00D27AA8">
            <w:pPr>
              <w:keepNext/>
              <w:keepLines/>
              <w:autoSpaceDE w:val="0"/>
              <w:autoSpaceDN w:val="0"/>
              <w:adjustRightInd w:val="0"/>
              <w:jc w:val="center"/>
              <w:rPr>
                <w:rFonts w:cs="Arial"/>
                <w:b/>
                <w:bCs/>
                <w:sz w:val="18"/>
                <w:szCs w:val="20"/>
              </w:rPr>
            </w:pPr>
            <w:r>
              <w:rPr>
                <w:b/>
                <w:sz w:val="18"/>
              </w:rPr>
              <w:t>(</w:t>
            </w:r>
            <w:r w:rsidR="00D27AA8">
              <w:rPr>
                <w:b/>
                <w:sz w:val="18"/>
              </w:rPr>
              <w:t xml:space="preserve">thousand </w:t>
            </w:r>
            <w:r>
              <w:rPr>
                <w:b/>
                <w:sz w:val="18"/>
              </w:rPr>
              <w:t>PLN)</w:t>
            </w:r>
          </w:p>
        </w:tc>
        <w:tc>
          <w:tcPr>
            <w:tcW w:w="977" w:type="pct"/>
            <w:shd w:val="clear" w:color="auto" w:fill="D9D9D9" w:themeFill="background1" w:themeFillShade="D9"/>
            <w:vAlign w:val="center"/>
          </w:tcPr>
          <w:p w:rsidR="004B4CA1" w:rsidRDefault="00D96C8D" w:rsidP="004B4CA1">
            <w:pPr>
              <w:keepNext/>
              <w:keepLines/>
              <w:autoSpaceDE w:val="0"/>
              <w:autoSpaceDN w:val="0"/>
              <w:adjustRightInd w:val="0"/>
              <w:jc w:val="center"/>
              <w:rPr>
                <w:rFonts w:cs="Arial"/>
                <w:b/>
                <w:bCs/>
                <w:sz w:val="18"/>
                <w:szCs w:val="20"/>
              </w:rPr>
            </w:pPr>
            <w:r>
              <w:rPr>
                <w:b/>
                <w:sz w:val="18"/>
              </w:rPr>
              <w:t>1H 2013</w:t>
            </w:r>
          </w:p>
          <w:p w:rsidR="00550B6A" w:rsidRPr="004B4CA1" w:rsidRDefault="00550B6A" w:rsidP="00D27AA8">
            <w:pPr>
              <w:keepNext/>
              <w:keepLines/>
              <w:autoSpaceDE w:val="0"/>
              <w:autoSpaceDN w:val="0"/>
              <w:adjustRightInd w:val="0"/>
              <w:jc w:val="center"/>
              <w:rPr>
                <w:rFonts w:cs="Arial"/>
                <w:b/>
                <w:bCs/>
                <w:sz w:val="18"/>
                <w:szCs w:val="20"/>
              </w:rPr>
            </w:pPr>
            <w:r>
              <w:rPr>
                <w:b/>
                <w:sz w:val="18"/>
              </w:rPr>
              <w:t>(</w:t>
            </w:r>
            <w:r w:rsidR="00D27AA8">
              <w:rPr>
                <w:b/>
                <w:sz w:val="18"/>
              </w:rPr>
              <w:t xml:space="preserve">thousand </w:t>
            </w:r>
            <w:r>
              <w:rPr>
                <w:b/>
                <w:sz w:val="18"/>
              </w:rPr>
              <w:t>PLN)</w:t>
            </w:r>
          </w:p>
        </w:tc>
        <w:tc>
          <w:tcPr>
            <w:tcW w:w="687" w:type="pct"/>
            <w:shd w:val="clear" w:color="auto" w:fill="D9D9D9" w:themeFill="background1" w:themeFillShade="D9"/>
            <w:vAlign w:val="center"/>
          </w:tcPr>
          <w:p w:rsidR="00550B6A" w:rsidRPr="004B4CA1" w:rsidRDefault="00D27AA8" w:rsidP="00D3267B">
            <w:pPr>
              <w:keepNext/>
              <w:keepLines/>
              <w:autoSpaceDE w:val="0"/>
              <w:autoSpaceDN w:val="0"/>
              <w:adjustRightInd w:val="0"/>
              <w:jc w:val="center"/>
              <w:rPr>
                <w:rFonts w:cs="Arial"/>
                <w:b/>
                <w:bCs/>
                <w:sz w:val="18"/>
                <w:szCs w:val="20"/>
              </w:rPr>
            </w:pPr>
            <w:r>
              <w:rPr>
                <w:b/>
                <w:sz w:val="18"/>
              </w:rPr>
              <w:t xml:space="preserve">% </w:t>
            </w:r>
            <w:r w:rsidR="00550B6A">
              <w:rPr>
                <w:b/>
                <w:sz w:val="18"/>
              </w:rPr>
              <w:t>change</w:t>
            </w:r>
          </w:p>
        </w:tc>
      </w:tr>
      <w:tr w:rsidR="002D05F6" w:rsidRPr="004B4CA1" w:rsidTr="00D27AA8">
        <w:trPr>
          <w:cantSplit/>
          <w:trHeight w:hRule="exact" w:val="537"/>
          <w:tblCellSpacing w:w="20" w:type="dxa"/>
          <w:jc w:val="center"/>
        </w:trPr>
        <w:tc>
          <w:tcPr>
            <w:tcW w:w="2296" w:type="pct"/>
            <w:vAlign w:val="center"/>
          </w:tcPr>
          <w:p w:rsidR="002D05F6" w:rsidRPr="004B4CA1" w:rsidRDefault="002D05F6" w:rsidP="008B1AF7">
            <w:pPr>
              <w:rPr>
                <w:rFonts w:cs="Arial"/>
                <w:sz w:val="18"/>
                <w:szCs w:val="18"/>
              </w:rPr>
            </w:pPr>
            <w:r>
              <w:rPr>
                <w:sz w:val="18"/>
              </w:rPr>
              <w:t>Current liabilities and provisions</w:t>
            </w:r>
          </w:p>
        </w:tc>
        <w:tc>
          <w:tcPr>
            <w:tcW w:w="935" w:type="pct"/>
            <w:vAlign w:val="center"/>
          </w:tcPr>
          <w:p w:rsidR="002D05F6" w:rsidRPr="000F5848" w:rsidRDefault="00CB7B6C" w:rsidP="002A4F37">
            <w:pPr>
              <w:ind w:right="200"/>
              <w:jc w:val="right"/>
              <w:rPr>
                <w:rFonts w:cs="Arial"/>
                <w:sz w:val="18"/>
                <w:szCs w:val="18"/>
              </w:rPr>
            </w:pPr>
            <w:r>
              <w:rPr>
                <w:rFonts w:cs="Arial"/>
                <w:sz w:val="18"/>
                <w:szCs w:val="18"/>
              </w:rPr>
              <w:t>790,</w:t>
            </w:r>
            <w:r w:rsidR="002D05F6">
              <w:rPr>
                <w:rFonts w:cs="Arial"/>
                <w:sz w:val="18"/>
                <w:szCs w:val="18"/>
              </w:rPr>
              <w:t>857</w:t>
            </w:r>
          </w:p>
        </w:tc>
        <w:tc>
          <w:tcPr>
            <w:tcW w:w="977" w:type="pct"/>
            <w:vAlign w:val="center"/>
          </w:tcPr>
          <w:p w:rsidR="002D05F6" w:rsidRPr="000F5848" w:rsidRDefault="00CB7B6C" w:rsidP="002A4F37">
            <w:pPr>
              <w:ind w:right="200"/>
              <w:jc w:val="right"/>
              <w:rPr>
                <w:rFonts w:cs="Arial"/>
                <w:sz w:val="18"/>
                <w:szCs w:val="18"/>
              </w:rPr>
            </w:pPr>
            <w:r>
              <w:rPr>
                <w:rFonts w:cs="Arial"/>
                <w:sz w:val="18"/>
                <w:szCs w:val="18"/>
              </w:rPr>
              <w:t>331,</w:t>
            </w:r>
            <w:r w:rsidR="002D05F6">
              <w:rPr>
                <w:rFonts w:cs="Arial"/>
                <w:sz w:val="18"/>
                <w:szCs w:val="18"/>
              </w:rPr>
              <w:t>980</w:t>
            </w:r>
          </w:p>
        </w:tc>
        <w:tc>
          <w:tcPr>
            <w:tcW w:w="687" w:type="pct"/>
            <w:vAlign w:val="center"/>
          </w:tcPr>
          <w:p w:rsidR="002D05F6" w:rsidRPr="00A66F82" w:rsidRDefault="00D96C8D" w:rsidP="002A4F37">
            <w:pPr>
              <w:ind w:right="200"/>
              <w:jc w:val="right"/>
              <w:rPr>
                <w:rFonts w:cs="Arial"/>
                <w:sz w:val="18"/>
                <w:szCs w:val="18"/>
              </w:rPr>
            </w:pPr>
            <w:r>
              <w:rPr>
                <w:rFonts w:cs="Arial"/>
                <w:sz w:val="18"/>
                <w:szCs w:val="18"/>
              </w:rPr>
              <w:t>138.</w:t>
            </w:r>
            <w:r w:rsidR="002D05F6">
              <w:rPr>
                <w:rFonts w:cs="Arial"/>
                <w:sz w:val="18"/>
                <w:szCs w:val="18"/>
              </w:rPr>
              <w:t>2</w:t>
            </w:r>
          </w:p>
        </w:tc>
      </w:tr>
      <w:tr w:rsidR="002D05F6" w:rsidRPr="004B4CA1" w:rsidTr="00D27AA8">
        <w:trPr>
          <w:cantSplit/>
          <w:trHeight w:hRule="exact" w:val="397"/>
          <w:tblCellSpacing w:w="20" w:type="dxa"/>
          <w:jc w:val="center"/>
        </w:trPr>
        <w:tc>
          <w:tcPr>
            <w:tcW w:w="2296" w:type="pct"/>
            <w:vAlign w:val="center"/>
          </w:tcPr>
          <w:p w:rsidR="002D05F6" w:rsidRPr="004B4CA1" w:rsidRDefault="002D05F6" w:rsidP="008B1AF7">
            <w:pPr>
              <w:rPr>
                <w:rFonts w:cs="Arial"/>
                <w:sz w:val="18"/>
                <w:szCs w:val="18"/>
              </w:rPr>
            </w:pPr>
            <w:r>
              <w:rPr>
                <w:sz w:val="18"/>
              </w:rPr>
              <w:t>Total assets</w:t>
            </w:r>
          </w:p>
        </w:tc>
        <w:tc>
          <w:tcPr>
            <w:tcW w:w="935" w:type="pct"/>
            <w:vAlign w:val="center"/>
          </w:tcPr>
          <w:p w:rsidR="002D05F6" w:rsidRPr="000F5848" w:rsidRDefault="00CB7B6C" w:rsidP="002A4F37">
            <w:pPr>
              <w:ind w:right="200"/>
              <w:jc w:val="right"/>
              <w:rPr>
                <w:rFonts w:cs="Arial"/>
                <w:sz w:val="18"/>
                <w:szCs w:val="18"/>
              </w:rPr>
            </w:pPr>
            <w:r>
              <w:rPr>
                <w:rFonts w:cs="Arial"/>
                <w:sz w:val="18"/>
                <w:szCs w:val="18"/>
              </w:rPr>
              <w:t>1,670,</w:t>
            </w:r>
            <w:r w:rsidR="002D05F6">
              <w:rPr>
                <w:rFonts w:cs="Arial"/>
                <w:sz w:val="18"/>
                <w:szCs w:val="18"/>
              </w:rPr>
              <w:t>986</w:t>
            </w:r>
          </w:p>
        </w:tc>
        <w:tc>
          <w:tcPr>
            <w:tcW w:w="977" w:type="pct"/>
            <w:vAlign w:val="center"/>
          </w:tcPr>
          <w:p w:rsidR="002D05F6" w:rsidRPr="000F5848" w:rsidRDefault="00CB7B6C" w:rsidP="002A4F37">
            <w:pPr>
              <w:ind w:right="200"/>
              <w:jc w:val="right"/>
              <w:rPr>
                <w:rFonts w:cs="Arial"/>
                <w:sz w:val="18"/>
                <w:szCs w:val="18"/>
              </w:rPr>
            </w:pPr>
            <w:r>
              <w:rPr>
                <w:rFonts w:cs="Arial"/>
                <w:sz w:val="18"/>
                <w:szCs w:val="18"/>
              </w:rPr>
              <w:t>1,005,</w:t>
            </w:r>
            <w:r w:rsidR="002D05F6">
              <w:rPr>
                <w:rFonts w:cs="Arial"/>
                <w:sz w:val="18"/>
                <w:szCs w:val="18"/>
              </w:rPr>
              <w:t>447</w:t>
            </w:r>
          </w:p>
        </w:tc>
        <w:tc>
          <w:tcPr>
            <w:tcW w:w="687" w:type="pct"/>
            <w:vAlign w:val="center"/>
          </w:tcPr>
          <w:p w:rsidR="002D05F6" w:rsidRPr="00A66F82" w:rsidRDefault="00D96C8D" w:rsidP="002A4F37">
            <w:pPr>
              <w:ind w:right="200"/>
              <w:jc w:val="right"/>
              <w:rPr>
                <w:rFonts w:cs="Arial"/>
                <w:sz w:val="18"/>
                <w:szCs w:val="18"/>
              </w:rPr>
            </w:pPr>
            <w:r>
              <w:rPr>
                <w:rFonts w:cs="Arial"/>
                <w:sz w:val="18"/>
                <w:szCs w:val="18"/>
              </w:rPr>
              <w:t>66.</w:t>
            </w:r>
            <w:r w:rsidR="002D05F6">
              <w:rPr>
                <w:rFonts w:cs="Arial"/>
                <w:sz w:val="18"/>
                <w:szCs w:val="18"/>
              </w:rPr>
              <w:t>2</w:t>
            </w:r>
          </w:p>
        </w:tc>
      </w:tr>
      <w:tr w:rsidR="002D05F6" w:rsidRPr="004B4CA1" w:rsidTr="00D27AA8">
        <w:trPr>
          <w:cantSplit/>
          <w:trHeight w:hRule="exact" w:val="397"/>
          <w:tblCellSpacing w:w="20" w:type="dxa"/>
          <w:jc w:val="center"/>
        </w:trPr>
        <w:tc>
          <w:tcPr>
            <w:tcW w:w="2296" w:type="pct"/>
            <w:vAlign w:val="center"/>
          </w:tcPr>
          <w:p w:rsidR="002D05F6" w:rsidRPr="004B4CA1" w:rsidRDefault="002D05F6" w:rsidP="008B1AF7">
            <w:pPr>
              <w:rPr>
                <w:rFonts w:cs="Arial"/>
                <w:sz w:val="18"/>
                <w:szCs w:val="18"/>
              </w:rPr>
            </w:pPr>
            <w:r>
              <w:rPr>
                <w:sz w:val="18"/>
              </w:rPr>
              <w:t>Fixed assets</w:t>
            </w:r>
          </w:p>
        </w:tc>
        <w:tc>
          <w:tcPr>
            <w:tcW w:w="935" w:type="pct"/>
            <w:vAlign w:val="center"/>
          </w:tcPr>
          <w:p w:rsidR="002D05F6" w:rsidRPr="000F5848" w:rsidRDefault="00CB7B6C" w:rsidP="002A4F37">
            <w:pPr>
              <w:ind w:right="200"/>
              <w:jc w:val="right"/>
              <w:rPr>
                <w:rFonts w:cs="Arial"/>
                <w:sz w:val="18"/>
                <w:szCs w:val="18"/>
              </w:rPr>
            </w:pPr>
            <w:r>
              <w:rPr>
                <w:rFonts w:cs="Arial"/>
                <w:sz w:val="18"/>
                <w:szCs w:val="18"/>
              </w:rPr>
              <w:t>466,</w:t>
            </w:r>
            <w:r w:rsidR="002D05F6">
              <w:rPr>
                <w:rFonts w:cs="Arial"/>
                <w:sz w:val="18"/>
                <w:szCs w:val="18"/>
              </w:rPr>
              <w:t>464</w:t>
            </w:r>
          </w:p>
        </w:tc>
        <w:tc>
          <w:tcPr>
            <w:tcW w:w="977" w:type="pct"/>
            <w:vAlign w:val="center"/>
          </w:tcPr>
          <w:p w:rsidR="002D05F6" w:rsidRPr="000F5848" w:rsidRDefault="00CB7B6C" w:rsidP="002A4F37">
            <w:pPr>
              <w:ind w:right="200"/>
              <w:jc w:val="right"/>
              <w:rPr>
                <w:rFonts w:cs="Arial"/>
                <w:sz w:val="18"/>
                <w:szCs w:val="18"/>
              </w:rPr>
            </w:pPr>
            <w:r>
              <w:rPr>
                <w:rFonts w:cs="Arial"/>
                <w:sz w:val="18"/>
                <w:szCs w:val="18"/>
              </w:rPr>
              <w:t>387,</w:t>
            </w:r>
            <w:r w:rsidR="002D05F6">
              <w:rPr>
                <w:rFonts w:cs="Arial"/>
                <w:sz w:val="18"/>
                <w:szCs w:val="18"/>
              </w:rPr>
              <w:t>441</w:t>
            </w:r>
          </w:p>
        </w:tc>
        <w:tc>
          <w:tcPr>
            <w:tcW w:w="687" w:type="pct"/>
            <w:vAlign w:val="center"/>
          </w:tcPr>
          <w:p w:rsidR="002D05F6" w:rsidRPr="00A66F82" w:rsidRDefault="00D96C8D" w:rsidP="002A4F37">
            <w:pPr>
              <w:ind w:right="200"/>
              <w:jc w:val="right"/>
              <w:rPr>
                <w:rFonts w:cs="Arial"/>
                <w:sz w:val="18"/>
                <w:szCs w:val="18"/>
              </w:rPr>
            </w:pPr>
            <w:r>
              <w:rPr>
                <w:rFonts w:cs="Arial"/>
                <w:sz w:val="18"/>
                <w:szCs w:val="18"/>
              </w:rPr>
              <w:t>20.</w:t>
            </w:r>
            <w:r w:rsidR="002D05F6">
              <w:rPr>
                <w:rFonts w:cs="Arial"/>
                <w:sz w:val="18"/>
                <w:szCs w:val="18"/>
              </w:rPr>
              <w:t>4</w:t>
            </w:r>
          </w:p>
        </w:tc>
      </w:tr>
      <w:tr w:rsidR="002D05F6" w:rsidRPr="004B4CA1" w:rsidTr="00D27AA8">
        <w:trPr>
          <w:cantSplit/>
          <w:trHeight w:hRule="exact" w:val="397"/>
          <w:tblCellSpacing w:w="20" w:type="dxa"/>
          <w:jc w:val="center"/>
        </w:trPr>
        <w:tc>
          <w:tcPr>
            <w:tcW w:w="2296" w:type="pct"/>
            <w:vAlign w:val="center"/>
          </w:tcPr>
          <w:p w:rsidR="002D05F6" w:rsidRPr="004B4CA1" w:rsidRDefault="002D05F6" w:rsidP="008B1AF7">
            <w:pPr>
              <w:rPr>
                <w:rFonts w:cs="Arial"/>
                <w:sz w:val="18"/>
                <w:szCs w:val="18"/>
              </w:rPr>
            </w:pPr>
            <w:r>
              <w:rPr>
                <w:sz w:val="18"/>
              </w:rPr>
              <w:t>Current assets</w:t>
            </w:r>
          </w:p>
        </w:tc>
        <w:tc>
          <w:tcPr>
            <w:tcW w:w="935" w:type="pct"/>
            <w:vAlign w:val="center"/>
          </w:tcPr>
          <w:p w:rsidR="002D05F6" w:rsidRPr="000F5848" w:rsidRDefault="00CB7B6C" w:rsidP="002A4F37">
            <w:pPr>
              <w:ind w:right="200"/>
              <w:jc w:val="right"/>
              <w:rPr>
                <w:rFonts w:cs="Arial"/>
                <w:sz w:val="18"/>
                <w:szCs w:val="18"/>
              </w:rPr>
            </w:pPr>
            <w:r>
              <w:rPr>
                <w:rFonts w:cs="Arial"/>
                <w:sz w:val="18"/>
                <w:szCs w:val="18"/>
              </w:rPr>
              <w:t>1,204,</w:t>
            </w:r>
            <w:r w:rsidR="002D05F6">
              <w:rPr>
                <w:rFonts w:cs="Arial"/>
                <w:sz w:val="18"/>
                <w:szCs w:val="18"/>
              </w:rPr>
              <w:t>522</w:t>
            </w:r>
          </w:p>
        </w:tc>
        <w:tc>
          <w:tcPr>
            <w:tcW w:w="977" w:type="pct"/>
            <w:vAlign w:val="center"/>
          </w:tcPr>
          <w:p w:rsidR="002D05F6" w:rsidRPr="000F5848" w:rsidRDefault="00CB7B6C" w:rsidP="002A4F37">
            <w:pPr>
              <w:ind w:right="200"/>
              <w:jc w:val="right"/>
              <w:rPr>
                <w:rFonts w:cs="Arial"/>
                <w:sz w:val="18"/>
                <w:szCs w:val="18"/>
              </w:rPr>
            </w:pPr>
            <w:r>
              <w:rPr>
                <w:rFonts w:cs="Arial"/>
                <w:sz w:val="18"/>
                <w:szCs w:val="18"/>
              </w:rPr>
              <w:t>618,</w:t>
            </w:r>
            <w:r w:rsidR="002D05F6">
              <w:rPr>
                <w:rFonts w:cs="Arial"/>
                <w:sz w:val="18"/>
                <w:szCs w:val="18"/>
              </w:rPr>
              <w:t>006</w:t>
            </w:r>
          </w:p>
        </w:tc>
        <w:tc>
          <w:tcPr>
            <w:tcW w:w="687" w:type="pct"/>
            <w:vAlign w:val="center"/>
          </w:tcPr>
          <w:p w:rsidR="002D05F6" w:rsidRPr="00A66F82" w:rsidRDefault="00D96C8D" w:rsidP="002A4F37">
            <w:pPr>
              <w:ind w:right="200"/>
              <w:jc w:val="right"/>
              <w:rPr>
                <w:rFonts w:cs="Arial"/>
                <w:sz w:val="18"/>
                <w:szCs w:val="18"/>
              </w:rPr>
            </w:pPr>
            <w:r>
              <w:rPr>
                <w:rFonts w:cs="Arial"/>
                <w:sz w:val="18"/>
                <w:szCs w:val="18"/>
              </w:rPr>
              <w:t>94.</w:t>
            </w:r>
            <w:r w:rsidR="002D05F6">
              <w:rPr>
                <w:rFonts w:cs="Arial"/>
                <w:sz w:val="18"/>
                <w:szCs w:val="18"/>
              </w:rPr>
              <w:t>9</w:t>
            </w:r>
          </w:p>
        </w:tc>
      </w:tr>
      <w:tr w:rsidR="002D05F6" w:rsidRPr="004B4CA1" w:rsidTr="00D27AA8">
        <w:trPr>
          <w:cantSplit/>
          <w:trHeight w:hRule="exact" w:val="397"/>
          <w:tblCellSpacing w:w="20" w:type="dxa"/>
          <w:jc w:val="center"/>
        </w:trPr>
        <w:tc>
          <w:tcPr>
            <w:tcW w:w="2296" w:type="pct"/>
            <w:vAlign w:val="center"/>
          </w:tcPr>
          <w:p w:rsidR="002D05F6" w:rsidRPr="004B4CA1" w:rsidRDefault="002D05F6" w:rsidP="008B1AF7">
            <w:pPr>
              <w:rPr>
                <w:rFonts w:cs="Arial"/>
                <w:sz w:val="18"/>
                <w:szCs w:val="18"/>
              </w:rPr>
            </w:pPr>
            <w:r>
              <w:rPr>
                <w:sz w:val="18"/>
              </w:rPr>
              <w:t>Inventories</w:t>
            </w:r>
          </w:p>
        </w:tc>
        <w:tc>
          <w:tcPr>
            <w:tcW w:w="935" w:type="pct"/>
            <w:vAlign w:val="center"/>
          </w:tcPr>
          <w:p w:rsidR="002D05F6" w:rsidRPr="000F5848" w:rsidRDefault="00CB7B6C" w:rsidP="002A4F37">
            <w:pPr>
              <w:ind w:right="200"/>
              <w:jc w:val="right"/>
              <w:rPr>
                <w:rFonts w:cs="Arial"/>
                <w:sz w:val="18"/>
                <w:szCs w:val="18"/>
              </w:rPr>
            </w:pPr>
            <w:r>
              <w:rPr>
                <w:rFonts w:cs="Arial"/>
                <w:sz w:val="18"/>
                <w:szCs w:val="18"/>
              </w:rPr>
              <w:t>682,</w:t>
            </w:r>
            <w:r w:rsidR="002D05F6">
              <w:rPr>
                <w:rFonts w:cs="Arial"/>
                <w:sz w:val="18"/>
                <w:szCs w:val="18"/>
              </w:rPr>
              <w:t>476</w:t>
            </w:r>
          </w:p>
        </w:tc>
        <w:tc>
          <w:tcPr>
            <w:tcW w:w="977" w:type="pct"/>
            <w:vAlign w:val="center"/>
          </w:tcPr>
          <w:p w:rsidR="002D05F6" w:rsidRPr="000F5848" w:rsidRDefault="00CB7B6C" w:rsidP="002A4F37">
            <w:pPr>
              <w:ind w:right="200"/>
              <w:jc w:val="right"/>
              <w:rPr>
                <w:rFonts w:cs="Arial"/>
                <w:sz w:val="18"/>
                <w:szCs w:val="18"/>
              </w:rPr>
            </w:pPr>
            <w:r>
              <w:rPr>
                <w:rFonts w:cs="Arial"/>
                <w:sz w:val="18"/>
                <w:szCs w:val="18"/>
              </w:rPr>
              <w:t>433,</w:t>
            </w:r>
            <w:r w:rsidR="002D05F6">
              <w:rPr>
                <w:rFonts w:cs="Arial"/>
                <w:sz w:val="18"/>
                <w:szCs w:val="18"/>
              </w:rPr>
              <w:t>341</w:t>
            </w:r>
          </w:p>
        </w:tc>
        <w:tc>
          <w:tcPr>
            <w:tcW w:w="687" w:type="pct"/>
            <w:vAlign w:val="center"/>
          </w:tcPr>
          <w:p w:rsidR="002D05F6" w:rsidRPr="00A66F82" w:rsidRDefault="00D96C8D" w:rsidP="002A4F37">
            <w:pPr>
              <w:ind w:right="200"/>
              <w:jc w:val="right"/>
              <w:rPr>
                <w:rFonts w:cs="Arial"/>
                <w:sz w:val="18"/>
                <w:szCs w:val="18"/>
              </w:rPr>
            </w:pPr>
            <w:r>
              <w:rPr>
                <w:rFonts w:cs="Arial"/>
                <w:sz w:val="18"/>
                <w:szCs w:val="18"/>
              </w:rPr>
              <w:t>57.</w:t>
            </w:r>
            <w:r w:rsidR="002D05F6">
              <w:rPr>
                <w:rFonts w:cs="Arial"/>
                <w:sz w:val="18"/>
                <w:szCs w:val="18"/>
              </w:rPr>
              <w:t>5</w:t>
            </w:r>
          </w:p>
        </w:tc>
      </w:tr>
      <w:tr w:rsidR="002D05F6" w:rsidRPr="004B4CA1" w:rsidTr="00D27AA8">
        <w:trPr>
          <w:cantSplit/>
          <w:trHeight w:hRule="exact" w:val="397"/>
          <w:tblCellSpacing w:w="20" w:type="dxa"/>
          <w:jc w:val="center"/>
        </w:trPr>
        <w:tc>
          <w:tcPr>
            <w:tcW w:w="2296" w:type="pct"/>
            <w:vAlign w:val="center"/>
          </w:tcPr>
          <w:p w:rsidR="002D05F6" w:rsidRPr="004B4CA1" w:rsidRDefault="002D05F6" w:rsidP="008B1AF7">
            <w:pPr>
              <w:rPr>
                <w:rFonts w:cs="Arial"/>
                <w:sz w:val="18"/>
                <w:szCs w:val="18"/>
              </w:rPr>
            </w:pPr>
            <w:r>
              <w:rPr>
                <w:sz w:val="18"/>
              </w:rPr>
              <w:t>Current receivables</w:t>
            </w:r>
          </w:p>
        </w:tc>
        <w:tc>
          <w:tcPr>
            <w:tcW w:w="935" w:type="pct"/>
            <w:vAlign w:val="center"/>
          </w:tcPr>
          <w:p w:rsidR="002D05F6" w:rsidRPr="000F5848" w:rsidRDefault="00CB7B6C" w:rsidP="002A4F37">
            <w:pPr>
              <w:ind w:right="200"/>
              <w:jc w:val="right"/>
              <w:rPr>
                <w:rFonts w:cs="Arial"/>
                <w:sz w:val="18"/>
                <w:szCs w:val="18"/>
              </w:rPr>
            </w:pPr>
            <w:r>
              <w:rPr>
                <w:rFonts w:cs="Arial"/>
                <w:sz w:val="18"/>
                <w:szCs w:val="18"/>
              </w:rPr>
              <w:t>97,</w:t>
            </w:r>
            <w:r w:rsidR="002D05F6">
              <w:rPr>
                <w:rFonts w:cs="Arial"/>
                <w:sz w:val="18"/>
                <w:szCs w:val="18"/>
              </w:rPr>
              <w:t>773</w:t>
            </w:r>
          </w:p>
        </w:tc>
        <w:tc>
          <w:tcPr>
            <w:tcW w:w="977" w:type="pct"/>
            <w:vAlign w:val="center"/>
          </w:tcPr>
          <w:p w:rsidR="002D05F6" w:rsidRPr="00406CA1" w:rsidRDefault="00CB7B6C" w:rsidP="002A4F37">
            <w:pPr>
              <w:ind w:right="200"/>
              <w:jc w:val="right"/>
              <w:rPr>
                <w:rFonts w:cs="Arial"/>
                <w:sz w:val="18"/>
                <w:szCs w:val="18"/>
              </w:rPr>
            </w:pPr>
            <w:r>
              <w:rPr>
                <w:rFonts w:cs="Arial"/>
                <w:sz w:val="18"/>
                <w:szCs w:val="18"/>
              </w:rPr>
              <w:t>94,</w:t>
            </w:r>
            <w:r w:rsidR="002D05F6" w:rsidRPr="00406CA1">
              <w:rPr>
                <w:rFonts w:cs="Arial"/>
                <w:sz w:val="18"/>
                <w:szCs w:val="18"/>
              </w:rPr>
              <w:t>242</w:t>
            </w:r>
          </w:p>
        </w:tc>
        <w:tc>
          <w:tcPr>
            <w:tcW w:w="687" w:type="pct"/>
            <w:vAlign w:val="center"/>
          </w:tcPr>
          <w:p w:rsidR="002D05F6" w:rsidRPr="00A66F82" w:rsidRDefault="00D96C8D" w:rsidP="002A4F37">
            <w:pPr>
              <w:ind w:right="200"/>
              <w:jc w:val="right"/>
              <w:rPr>
                <w:rFonts w:cs="Arial"/>
                <w:sz w:val="18"/>
                <w:szCs w:val="18"/>
              </w:rPr>
            </w:pPr>
            <w:r>
              <w:rPr>
                <w:rFonts w:cs="Arial"/>
                <w:sz w:val="18"/>
                <w:szCs w:val="18"/>
              </w:rPr>
              <w:t>3.</w:t>
            </w:r>
            <w:r w:rsidR="002D05F6">
              <w:rPr>
                <w:rFonts w:cs="Arial"/>
                <w:sz w:val="18"/>
                <w:szCs w:val="18"/>
              </w:rPr>
              <w:t>7</w:t>
            </w:r>
          </w:p>
        </w:tc>
      </w:tr>
      <w:bookmarkEnd w:id="9"/>
      <w:bookmarkEnd w:id="10"/>
    </w:tbl>
    <w:p w:rsidR="004064EC" w:rsidRPr="004B4CA1" w:rsidRDefault="004064EC" w:rsidP="00A63121">
      <w:pPr>
        <w:pStyle w:val="dAREK1"/>
      </w:pPr>
    </w:p>
    <w:p w:rsidR="0086492B" w:rsidRPr="004B4CA1" w:rsidRDefault="009D54AD" w:rsidP="009D54AD">
      <w:pPr>
        <w:pStyle w:val="Tekstpodstawowy"/>
        <w:jc w:val="both"/>
        <w:rPr>
          <w:rFonts w:cs="Arial"/>
          <w:b w:val="0"/>
          <w:bCs w:val="0"/>
        </w:rPr>
      </w:pPr>
      <w:r>
        <w:rPr>
          <w:b w:val="0"/>
        </w:rPr>
        <w:t xml:space="preserve">In 1H </w:t>
      </w:r>
      <w:r w:rsidR="006426A9">
        <w:rPr>
          <w:b w:val="0"/>
        </w:rPr>
        <w:t>2014</w:t>
      </w:r>
      <w:r>
        <w:rPr>
          <w:b w:val="0"/>
        </w:rPr>
        <w:t xml:space="preserve">, the </w:t>
      </w:r>
      <w:r w:rsidR="003D6B70">
        <w:rPr>
          <w:b w:val="0"/>
        </w:rPr>
        <w:t xml:space="preserve">Capital Group </w:t>
      </w:r>
      <w:r>
        <w:rPr>
          <w:b w:val="0"/>
        </w:rPr>
        <w:t xml:space="preserve">CCC S.A. has </w:t>
      </w:r>
      <w:r w:rsidR="003D6B70">
        <w:rPr>
          <w:b w:val="0"/>
        </w:rPr>
        <w:t>generated</w:t>
      </w:r>
      <w:r>
        <w:rPr>
          <w:b w:val="0"/>
        </w:rPr>
        <w:t xml:space="preserve"> </w:t>
      </w:r>
      <w:r w:rsidR="003D6B70">
        <w:rPr>
          <w:b w:val="0"/>
        </w:rPr>
        <w:t xml:space="preserve">sales revenues </w:t>
      </w:r>
      <w:r>
        <w:rPr>
          <w:b w:val="0"/>
        </w:rPr>
        <w:t xml:space="preserve">in the amount of PLN </w:t>
      </w:r>
      <w:r w:rsidR="003D6B70">
        <w:rPr>
          <w:b w:val="0"/>
        </w:rPr>
        <w:t>855,890</w:t>
      </w:r>
      <w:r>
        <w:rPr>
          <w:b w:val="0"/>
        </w:rPr>
        <w:t xml:space="preserve"> thousand (+</w:t>
      </w:r>
      <w:r w:rsidR="003D6B70">
        <w:rPr>
          <w:b w:val="0"/>
        </w:rPr>
        <w:t>33</w:t>
      </w:r>
      <w:r w:rsidR="00BD50A7">
        <w:rPr>
          <w:b w:val="0"/>
        </w:rPr>
        <w:t>.</w:t>
      </w:r>
      <w:r w:rsidR="003D6B70">
        <w:rPr>
          <w:b w:val="0"/>
        </w:rPr>
        <w:t>0</w:t>
      </w:r>
      <w:r>
        <w:rPr>
          <w:b w:val="0"/>
        </w:rPr>
        <w:t xml:space="preserve">% Y/Y). </w:t>
      </w:r>
      <w:r w:rsidR="00BD50A7">
        <w:rPr>
          <w:b w:val="0"/>
        </w:rPr>
        <w:t>R</w:t>
      </w:r>
      <w:r w:rsidR="00BF3B66">
        <w:rPr>
          <w:b w:val="0"/>
        </w:rPr>
        <w:t xml:space="preserve">etail sales </w:t>
      </w:r>
      <w:r w:rsidR="00BD50A7">
        <w:rPr>
          <w:b w:val="0"/>
        </w:rPr>
        <w:t xml:space="preserve">income </w:t>
      </w:r>
      <w:r w:rsidR="00BF3B66">
        <w:rPr>
          <w:b w:val="0"/>
        </w:rPr>
        <w:t xml:space="preserve">has </w:t>
      </w:r>
      <w:r w:rsidR="00BD50A7">
        <w:rPr>
          <w:b w:val="0"/>
        </w:rPr>
        <w:t>amounted to</w:t>
      </w:r>
      <w:r w:rsidR="00BF3B66">
        <w:rPr>
          <w:b w:val="0"/>
        </w:rPr>
        <w:t xml:space="preserve"> PLN </w:t>
      </w:r>
      <w:r w:rsidR="00BD50A7">
        <w:rPr>
          <w:b w:val="0"/>
        </w:rPr>
        <w:t>820,672</w:t>
      </w:r>
      <w:r>
        <w:rPr>
          <w:b w:val="0"/>
        </w:rPr>
        <w:t xml:space="preserve"> thousand </w:t>
      </w:r>
      <w:r w:rsidR="00BF3B66">
        <w:rPr>
          <w:b w:val="0"/>
        </w:rPr>
        <w:t xml:space="preserve">in comparison to PLN </w:t>
      </w:r>
      <w:r w:rsidR="00BD50A7">
        <w:rPr>
          <w:b w:val="0"/>
        </w:rPr>
        <w:t>611,412</w:t>
      </w:r>
      <w:r>
        <w:rPr>
          <w:b w:val="0"/>
        </w:rPr>
        <w:t xml:space="preserve"> thousand in 1H </w:t>
      </w:r>
      <w:r w:rsidR="00B26839">
        <w:rPr>
          <w:b w:val="0"/>
        </w:rPr>
        <w:t>2013</w:t>
      </w:r>
      <w:r>
        <w:rPr>
          <w:b w:val="0"/>
        </w:rPr>
        <w:t xml:space="preserve"> (+</w:t>
      </w:r>
      <w:r w:rsidR="00BD50A7">
        <w:rPr>
          <w:b w:val="0"/>
        </w:rPr>
        <w:t>34.2</w:t>
      </w:r>
      <w:r>
        <w:rPr>
          <w:b w:val="0"/>
        </w:rPr>
        <w:t xml:space="preserve">% Y/Y). In the same period, </w:t>
      </w:r>
      <w:r w:rsidR="00562D70">
        <w:rPr>
          <w:b w:val="0"/>
        </w:rPr>
        <w:t>franchise and other sales income</w:t>
      </w:r>
      <w:r>
        <w:rPr>
          <w:b w:val="0"/>
        </w:rPr>
        <w:t xml:space="preserve"> amounted to PLN </w:t>
      </w:r>
      <w:r w:rsidR="00562D70">
        <w:rPr>
          <w:b w:val="0"/>
        </w:rPr>
        <w:t>35,218</w:t>
      </w:r>
      <w:r>
        <w:rPr>
          <w:b w:val="0"/>
        </w:rPr>
        <w:t xml:space="preserve"> thousand (+</w:t>
      </w:r>
      <w:r w:rsidR="00562D70">
        <w:rPr>
          <w:b w:val="0"/>
        </w:rPr>
        <w:t>9.5</w:t>
      </w:r>
      <w:r>
        <w:rPr>
          <w:b w:val="0"/>
        </w:rPr>
        <w:t xml:space="preserve">% Y/Y). </w:t>
      </w:r>
    </w:p>
    <w:p w:rsidR="00F86012" w:rsidRPr="00F86012" w:rsidRDefault="00F86012" w:rsidP="00F86012">
      <w:pPr>
        <w:pStyle w:val="Tekstpodstawowy"/>
        <w:jc w:val="both"/>
        <w:rPr>
          <w:b w:val="0"/>
        </w:rPr>
      </w:pPr>
      <w:r w:rsidRPr="00F86012">
        <w:rPr>
          <w:b w:val="0"/>
        </w:rPr>
        <w:t xml:space="preserve">Higher than </w:t>
      </w:r>
      <w:r w:rsidR="00AA6B0D">
        <w:rPr>
          <w:b w:val="0"/>
        </w:rPr>
        <w:t xml:space="preserve">in case of </w:t>
      </w:r>
      <w:r w:rsidR="002A4F37">
        <w:rPr>
          <w:b w:val="0"/>
        </w:rPr>
        <w:t xml:space="preserve">the sales revenue, the </w:t>
      </w:r>
      <w:r w:rsidRPr="00F86012">
        <w:rPr>
          <w:b w:val="0"/>
        </w:rPr>
        <w:t>growth rate of</w:t>
      </w:r>
      <w:r w:rsidR="00AA6B0D">
        <w:rPr>
          <w:b w:val="0"/>
        </w:rPr>
        <w:t xml:space="preserve"> gross </w:t>
      </w:r>
      <w:r w:rsidR="002A4F37">
        <w:rPr>
          <w:b w:val="0"/>
        </w:rPr>
        <w:t>sales profit</w:t>
      </w:r>
      <w:r w:rsidR="00AA6B0D">
        <w:rPr>
          <w:b w:val="0"/>
        </w:rPr>
        <w:t xml:space="preserve"> (41.9% y/</w:t>
      </w:r>
      <w:r w:rsidRPr="00F86012">
        <w:rPr>
          <w:b w:val="0"/>
        </w:rPr>
        <w:t>y) is primarily a consequence of achieving higher margins on retail sa</w:t>
      </w:r>
      <w:r w:rsidR="002A4F37">
        <w:rPr>
          <w:b w:val="0"/>
        </w:rPr>
        <w:t>les. In the first half of 2014 the a</w:t>
      </w:r>
      <w:r w:rsidRPr="00F86012">
        <w:rPr>
          <w:b w:val="0"/>
        </w:rPr>
        <w:t xml:space="preserve">verage margin on retail sales amounted to 56.46%, while in the corresponding period of 2013 - 53.64%. </w:t>
      </w:r>
    </w:p>
    <w:p w:rsidR="00550B6A" w:rsidRDefault="00F86012" w:rsidP="00F86012">
      <w:pPr>
        <w:pStyle w:val="Tekstpodstawowy"/>
        <w:jc w:val="both"/>
        <w:rPr>
          <w:b w:val="0"/>
        </w:rPr>
      </w:pPr>
      <w:r w:rsidRPr="00F86012">
        <w:rPr>
          <w:b w:val="0"/>
        </w:rPr>
        <w:t xml:space="preserve">During this period, the </w:t>
      </w:r>
      <w:r w:rsidR="00B74121">
        <w:rPr>
          <w:b w:val="0"/>
        </w:rPr>
        <w:t xml:space="preserve">administrative and sales cost </w:t>
      </w:r>
      <w:r w:rsidRPr="00F86012">
        <w:rPr>
          <w:b w:val="0"/>
        </w:rPr>
        <w:t xml:space="preserve">increased by </w:t>
      </w:r>
      <w:r w:rsidR="00B74121">
        <w:rPr>
          <w:b w:val="0"/>
        </w:rPr>
        <w:t xml:space="preserve">82,275 thousand </w:t>
      </w:r>
      <w:r w:rsidR="00AA6B0D">
        <w:rPr>
          <w:b w:val="0"/>
        </w:rPr>
        <w:t>PLN (+ 28.3% y/</w:t>
      </w:r>
      <w:r w:rsidRPr="00F86012">
        <w:rPr>
          <w:b w:val="0"/>
        </w:rPr>
        <w:t xml:space="preserve">y). The ratio of </w:t>
      </w:r>
      <w:r w:rsidR="00B74121" w:rsidRPr="00F86012">
        <w:rPr>
          <w:b w:val="0"/>
        </w:rPr>
        <w:t xml:space="preserve">the </w:t>
      </w:r>
      <w:r w:rsidR="00B74121">
        <w:rPr>
          <w:b w:val="0"/>
        </w:rPr>
        <w:t xml:space="preserve">administrative and sales cost </w:t>
      </w:r>
      <w:r w:rsidRPr="00F86012">
        <w:rPr>
          <w:b w:val="0"/>
        </w:rPr>
        <w:t>to sales revenues amounted to 0.44 (0.45 - 30.06.2013.).</w:t>
      </w:r>
    </w:p>
    <w:p w:rsidR="00AA6B0D" w:rsidRPr="004B4CA1" w:rsidRDefault="00AA6B0D" w:rsidP="00F86012">
      <w:pPr>
        <w:pStyle w:val="Tekstpodstawowy"/>
        <w:jc w:val="both"/>
        <w:rPr>
          <w:rFonts w:cs="Arial"/>
          <w:b w:val="0"/>
          <w:bCs w:val="0"/>
        </w:rPr>
      </w:pPr>
    </w:p>
    <w:p w:rsidR="00007AEF" w:rsidRPr="004B4CA1" w:rsidRDefault="00A51066" w:rsidP="00007AEF">
      <w:pPr>
        <w:pStyle w:val="dAREK1"/>
      </w:pPr>
      <w:r>
        <w:t xml:space="preserve">The balance of the </w:t>
      </w:r>
      <w:r w:rsidR="00C4324F">
        <w:t>Capital Group</w:t>
      </w:r>
      <w:r w:rsidR="00C4324F">
        <w:rPr>
          <w:b/>
        </w:rPr>
        <w:t xml:space="preserve"> </w:t>
      </w:r>
      <w:r>
        <w:t>CCC S.A. as at 30.06.</w:t>
      </w:r>
      <w:r w:rsidR="006426A9">
        <w:t>2014</w:t>
      </w:r>
      <w:r>
        <w:t xml:space="preserve"> on the assets and liabilities side reached </w:t>
      </w:r>
      <w:r w:rsidR="00C4324F">
        <w:t>1,670,986</w:t>
      </w:r>
      <w:r>
        <w:t xml:space="preserve"> thousand</w:t>
      </w:r>
      <w:r w:rsidR="00C4324F" w:rsidRPr="00C4324F">
        <w:t xml:space="preserve"> </w:t>
      </w:r>
      <w:r w:rsidR="00C4324F">
        <w:t>PLN</w:t>
      </w:r>
      <w:r>
        <w:t xml:space="preserve">.  Balance sheet total increased by </w:t>
      </w:r>
      <w:r w:rsidR="00C4324F">
        <w:t>66.2</w:t>
      </w:r>
      <w:r>
        <w:t>% compared to the value as of 30.06.</w:t>
      </w:r>
      <w:r w:rsidR="00B26839">
        <w:t>2013</w:t>
      </w:r>
      <w:r>
        <w:t xml:space="preserve">. The increase on the side </w:t>
      </w:r>
      <w:r w:rsidR="00A53E5F">
        <w:t xml:space="preserve">of </w:t>
      </w:r>
      <w:r>
        <w:t>the tangible fixed assets was affected by the in</w:t>
      </w:r>
      <w:r w:rsidR="00BF3B66">
        <w:t xml:space="preserve">crease in fixed assets by </w:t>
      </w:r>
      <w:r w:rsidR="00A53E5F">
        <w:t>74,012</w:t>
      </w:r>
      <w:r>
        <w:t xml:space="preserve"> thousand </w:t>
      </w:r>
      <w:r w:rsidR="00A53E5F">
        <w:t xml:space="preserve">PLN </w:t>
      </w:r>
      <w:r>
        <w:t>(</w:t>
      </w:r>
      <w:r w:rsidR="00A53E5F">
        <w:t>20.9</w:t>
      </w:r>
      <w:r>
        <w:t>% Y/Y) associated with the development of own sales network.</w:t>
      </w:r>
    </w:p>
    <w:p w:rsidR="00214FD6" w:rsidRDefault="00BE2F54" w:rsidP="00007AEF">
      <w:pPr>
        <w:autoSpaceDE w:val="0"/>
        <w:autoSpaceDN w:val="0"/>
        <w:adjustRightInd w:val="0"/>
        <w:jc w:val="both"/>
        <w:rPr>
          <w:rFonts w:cs="Arial"/>
        </w:rPr>
      </w:pPr>
      <w:r w:rsidRPr="00BE2F54">
        <w:rPr>
          <w:rFonts w:cs="Arial"/>
        </w:rPr>
        <w:t xml:space="preserve">Significant changes in current assets is the increase in </w:t>
      </w:r>
      <w:r w:rsidR="00DC1503">
        <w:rPr>
          <w:rFonts w:cs="Arial"/>
        </w:rPr>
        <w:t>inventories of 249,135 thousand</w:t>
      </w:r>
      <w:r w:rsidRPr="00BE2F54">
        <w:rPr>
          <w:rFonts w:cs="Arial"/>
        </w:rPr>
        <w:t xml:space="preserve"> PLN (+ 57.5% y/y) associated with a steady increase in scale of operations and cash </w:t>
      </w:r>
      <w:r w:rsidR="00DC1503">
        <w:rPr>
          <w:rFonts w:cs="Arial"/>
        </w:rPr>
        <w:t xml:space="preserve">and cash equivalents by PLN 333,850 thousand </w:t>
      </w:r>
      <w:r w:rsidRPr="00BE2F54">
        <w:rPr>
          <w:rFonts w:cs="Arial"/>
        </w:rPr>
        <w:t xml:space="preserve">PLN (+ 369.2%). The increase in the value of cash </w:t>
      </w:r>
      <w:r w:rsidR="006F4E5F">
        <w:rPr>
          <w:rFonts w:cs="Arial"/>
        </w:rPr>
        <w:t>was affected</w:t>
      </w:r>
      <w:r w:rsidRPr="00BE2F54">
        <w:rPr>
          <w:rFonts w:cs="Arial"/>
        </w:rPr>
        <w:t xml:space="preserve"> by the issue of bonds in </w:t>
      </w:r>
      <w:r w:rsidR="006F4E5F">
        <w:rPr>
          <w:rFonts w:cs="Arial"/>
        </w:rPr>
        <w:t xml:space="preserve">the amount of 210,000 thousand </w:t>
      </w:r>
      <w:r w:rsidRPr="00BE2F54">
        <w:rPr>
          <w:rFonts w:cs="Arial"/>
        </w:rPr>
        <w:t>PLN carried out in June 2014</w:t>
      </w:r>
      <w:r w:rsidR="006F4E5F">
        <w:rPr>
          <w:rFonts w:cs="Arial"/>
        </w:rPr>
        <w:t>.</w:t>
      </w:r>
      <w:r w:rsidR="00214FD6">
        <w:rPr>
          <w:rFonts w:cs="Arial"/>
        </w:rPr>
        <w:t xml:space="preserve"> Trade receivables </w:t>
      </w:r>
      <w:r w:rsidRPr="00BE2F54">
        <w:rPr>
          <w:rFonts w:cs="Arial"/>
        </w:rPr>
        <w:t>and other receivable</w:t>
      </w:r>
      <w:r w:rsidR="00214FD6">
        <w:rPr>
          <w:rFonts w:cs="Arial"/>
        </w:rPr>
        <w:t xml:space="preserve">s increased to 97,773 thousand PLN (90,840 thousand </w:t>
      </w:r>
      <w:r w:rsidRPr="00BE2F54">
        <w:rPr>
          <w:rFonts w:cs="Arial"/>
        </w:rPr>
        <w:t xml:space="preserve">PLN </w:t>
      </w:r>
      <w:r w:rsidR="00214FD6">
        <w:rPr>
          <w:rFonts w:cs="Arial"/>
        </w:rPr>
        <w:t xml:space="preserve">- </w:t>
      </w:r>
      <w:r w:rsidRPr="00BE2F54">
        <w:rPr>
          <w:rFonts w:cs="Arial"/>
        </w:rPr>
        <w:t>30.06.2013.).</w:t>
      </w:r>
    </w:p>
    <w:p w:rsidR="00505379" w:rsidRDefault="00505379" w:rsidP="007A7078">
      <w:pPr>
        <w:autoSpaceDE w:val="0"/>
        <w:autoSpaceDN w:val="0"/>
        <w:adjustRightInd w:val="0"/>
        <w:jc w:val="both"/>
      </w:pPr>
    </w:p>
    <w:p w:rsidR="001756DE" w:rsidRDefault="009D54AD" w:rsidP="007A7078">
      <w:pPr>
        <w:autoSpaceDE w:val="0"/>
        <w:autoSpaceDN w:val="0"/>
        <w:adjustRightInd w:val="0"/>
        <w:jc w:val="both"/>
      </w:pPr>
      <w:r>
        <w:t xml:space="preserve">Significant changes on the liabilities side is the increase of liabilities resulting from short-term and long-term loans reaching </w:t>
      </w:r>
      <w:r w:rsidR="0076124A">
        <w:t xml:space="preserve">811,027 </w:t>
      </w:r>
      <w:r w:rsidR="00BF3B66">
        <w:t xml:space="preserve">thousand </w:t>
      </w:r>
      <w:r w:rsidR="0076124A">
        <w:t xml:space="preserve">PLN </w:t>
      </w:r>
      <w:r w:rsidR="00BF3B66">
        <w:t>(</w:t>
      </w:r>
      <w:r w:rsidR="0076124A">
        <w:t>310,111</w:t>
      </w:r>
      <w:r w:rsidR="00BF3B66">
        <w:t xml:space="preserve"> thousand</w:t>
      </w:r>
      <w:r>
        <w:t xml:space="preserve"> </w:t>
      </w:r>
      <w:r w:rsidR="0076124A">
        <w:t xml:space="preserve">PLN </w:t>
      </w:r>
      <w:r>
        <w:t>– 30.06.</w:t>
      </w:r>
      <w:r w:rsidR="00B26839">
        <w:t>2013</w:t>
      </w:r>
      <w:r>
        <w:t xml:space="preserve">). </w:t>
      </w:r>
      <w:r w:rsidR="0016048F" w:rsidRPr="0016048F">
        <w:t xml:space="preserve">Acquired funds will be used for the expansion of the sales network and cover the increased demand for working capital. Current </w:t>
      </w:r>
      <w:r w:rsidR="0016048F">
        <w:t>t</w:t>
      </w:r>
      <w:r w:rsidR="0016048F" w:rsidRPr="0016048F">
        <w:t xml:space="preserve">rade </w:t>
      </w:r>
      <w:r w:rsidR="007A7078" w:rsidRPr="0016048F">
        <w:t>liabilities</w:t>
      </w:r>
      <w:r w:rsidR="0016048F" w:rsidRPr="0016048F">
        <w:t xml:space="preserve"> and other liabilitie</w:t>
      </w:r>
      <w:r w:rsidR="007A7078">
        <w:t xml:space="preserve">s increased to 201,414 thousand PLN (154,195 thousand </w:t>
      </w:r>
      <w:r w:rsidR="0016048F" w:rsidRPr="0016048F">
        <w:t xml:space="preserve">PLN </w:t>
      </w:r>
      <w:r w:rsidR="007A7078">
        <w:t>-30.06.2013.).</w:t>
      </w:r>
    </w:p>
    <w:p w:rsidR="00007AEF" w:rsidRPr="004B4CA1" w:rsidRDefault="00007AEF" w:rsidP="00007AEF">
      <w:pPr>
        <w:autoSpaceDE w:val="0"/>
        <w:autoSpaceDN w:val="0"/>
        <w:adjustRightInd w:val="0"/>
        <w:jc w:val="both"/>
        <w:rPr>
          <w:rFonts w:cs="Arial"/>
          <w:szCs w:val="20"/>
        </w:rPr>
      </w:pPr>
    </w:p>
    <w:p w:rsidR="00A63121" w:rsidRPr="004B4CA1" w:rsidRDefault="00922A39" w:rsidP="00922A39">
      <w:pPr>
        <w:pStyle w:val="Legenda"/>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6</w:t>
      </w:r>
      <w:r w:rsidR="000418D6" w:rsidRPr="004B4CA1">
        <w:rPr>
          <w:noProof/>
        </w:rPr>
        <w:fldChar w:fldCharType="end"/>
      </w:r>
      <w:r>
        <w:t>. Profitability ratios</w:t>
      </w:r>
    </w:p>
    <w:tbl>
      <w:tblPr>
        <w:tblW w:w="4899" w:type="pct"/>
        <w:jc w:val="center"/>
        <w:tblCellSpacing w:w="20" w:type="dxa"/>
        <w:tblInd w:w="18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348"/>
        <w:gridCol w:w="1814"/>
        <w:gridCol w:w="1906"/>
        <w:gridCol w:w="1344"/>
      </w:tblGrid>
      <w:tr w:rsidR="00922A39" w:rsidRPr="004B4CA1" w:rsidTr="00505379">
        <w:trPr>
          <w:cantSplit/>
          <w:trHeight w:hRule="exact" w:val="510"/>
          <w:tblCellSpacing w:w="20" w:type="dxa"/>
          <w:jc w:val="center"/>
        </w:trPr>
        <w:tc>
          <w:tcPr>
            <w:tcW w:w="2278" w:type="pct"/>
            <w:tcBorders>
              <w:bottom w:val="outset" w:sz="6" w:space="0" w:color="auto"/>
            </w:tcBorders>
            <w:shd w:val="clear" w:color="auto" w:fill="D9D9D9" w:themeFill="background1" w:themeFillShade="D9"/>
            <w:vAlign w:val="center"/>
          </w:tcPr>
          <w:p w:rsidR="00922A39" w:rsidRPr="004B4CA1" w:rsidRDefault="00505379" w:rsidP="00922A39">
            <w:pPr>
              <w:keepNext/>
              <w:keepLines/>
              <w:autoSpaceDE w:val="0"/>
              <w:autoSpaceDN w:val="0"/>
              <w:adjustRightInd w:val="0"/>
              <w:jc w:val="center"/>
              <w:rPr>
                <w:rFonts w:cs="Arial"/>
                <w:b/>
                <w:bCs/>
                <w:sz w:val="18"/>
                <w:szCs w:val="20"/>
              </w:rPr>
            </w:pPr>
            <w:r>
              <w:rPr>
                <w:b/>
                <w:sz w:val="18"/>
              </w:rPr>
              <w:t>Value</w:t>
            </w:r>
          </w:p>
        </w:tc>
        <w:tc>
          <w:tcPr>
            <w:tcW w:w="942" w:type="pct"/>
            <w:tcBorders>
              <w:bottom w:val="outset" w:sz="6" w:space="0" w:color="auto"/>
            </w:tcBorders>
            <w:shd w:val="clear" w:color="auto" w:fill="D9D9D9" w:themeFill="background1" w:themeFillShade="D9"/>
            <w:vAlign w:val="center"/>
          </w:tcPr>
          <w:p w:rsidR="004B4CA1" w:rsidRDefault="00922A39" w:rsidP="004B4CA1">
            <w:pPr>
              <w:keepNext/>
              <w:keepLines/>
              <w:autoSpaceDE w:val="0"/>
              <w:autoSpaceDN w:val="0"/>
              <w:adjustRightInd w:val="0"/>
              <w:jc w:val="center"/>
              <w:rPr>
                <w:rFonts w:cs="Arial"/>
                <w:b/>
                <w:bCs/>
                <w:sz w:val="18"/>
                <w:szCs w:val="20"/>
              </w:rPr>
            </w:pPr>
            <w:r>
              <w:rPr>
                <w:b/>
                <w:sz w:val="18"/>
              </w:rPr>
              <w:t xml:space="preserve">1H </w:t>
            </w:r>
            <w:r w:rsidR="006426A9">
              <w:rPr>
                <w:b/>
                <w:sz w:val="18"/>
              </w:rPr>
              <w:t>2014</w:t>
            </w:r>
          </w:p>
          <w:p w:rsidR="00922A39" w:rsidRPr="004B4CA1" w:rsidRDefault="00922A39" w:rsidP="004B4CA1">
            <w:pPr>
              <w:keepNext/>
              <w:keepLines/>
              <w:autoSpaceDE w:val="0"/>
              <w:autoSpaceDN w:val="0"/>
              <w:adjustRightInd w:val="0"/>
              <w:jc w:val="center"/>
              <w:rPr>
                <w:rFonts w:cs="Arial"/>
                <w:b/>
                <w:bCs/>
                <w:sz w:val="18"/>
                <w:szCs w:val="20"/>
              </w:rPr>
            </w:pPr>
            <w:r>
              <w:rPr>
                <w:b/>
                <w:sz w:val="18"/>
              </w:rPr>
              <w:t>(%)</w:t>
            </w:r>
          </w:p>
        </w:tc>
        <w:tc>
          <w:tcPr>
            <w:tcW w:w="991" w:type="pct"/>
            <w:shd w:val="clear" w:color="auto" w:fill="D9D9D9" w:themeFill="background1" w:themeFillShade="D9"/>
            <w:vAlign w:val="center"/>
          </w:tcPr>
          <w:p w:rsidR="004B4CA1" w:rsidRDefault="00922A39" w:rsidP="004B4CA1">
            <w:pPr>
              <w:keepNext/>
              <w:keepLines/>
              <w:autoSpaceDE w:val="0"/>
              <w:autoSpaceDN w:val="0"/>
              <w:adjustRightInd w:val="0"/>
              <w:jc w:val="center"/>
              <w:rPr>
                <w:rFonts w:cs="Arial"/>
                <w:b/>
                <w:bCs/>
                <w:sz w:val="18"/>
                <w:szCs w:val="20"/>
              </w:rPr>
            </w:pPr>
            <w:r>
              <w:rPr>
                <w:b/>
                <w:sz w:val="18"/>
              </w:rPr>
              <w:t xml:space="preserve">1H </w:t>
            </w:r>
            <w:r w:rsidR="00B26839">
              <w:rPr>
                <w:b/>
                <w:sz w:val="18"/>
              </w:rPr>
              <w:t>2013</w:t>
            </w:r>
          </w:p>
          <w:p w:rsidR="00922A39" w:rsidRPr="004B4CA1" w:rsidRDefault="00922A39" w:rsidP="004B4CA1">
            <w:pPr>
              <w:keepNext/>
              <w:keepLines/>
              <w:autoSpaceDE w:val="0"/>
              <w:autoSpaceDN w:val="0"/>
              <w:adjustRightInd w:val="0"/>
              <w:jc w:val="center"/>
              <w:rPr>
                <w:rFonts w:cs="Arial"/>
                <w:b/>
                <w:bCs/>
                <w:sz w:val="18"/>
                <w:szCs w:val="20"/>
              </w:rPr>
            </w:pPr>
            <w:r>
              <w:rPr>
                <w:b/>
                <w:sz w:val="18"/>
              </w:rPr>
              <w:t>(%)</w:t>
            </w:r>
          </w:p>
        </w:tc>
        <w:tc>
          <w:tcPr>
            <w:tcW w:w="682" w:type="pct"/>
            <w:shd w:val="clear" w:color="auto" w:fill="D9D9D9" w:themeFill="background1" w:themeFillShade="D9"/>
            <w:vAlign w:val="center"/>
          </w:tcPr>
          <w:p w:rsidR="00922A39" w:rsidRPr="004B4CA1" w:rsidRDefault="00CE78A1" w:rsidP="00922A39">
            <w:pPr>
              <w:keepNext/>
              <w:keepLines/>
              <w:autoSpaceDE w:val="0"/>
              <w:autoSpaceDN w:val="0"/>
              <w:adjustRightInd w:val="0"/>
              <w:jc w:val="center"/>
              <w:rPr>
                <w:rFonts w:cs="Arial"/>
                <w:b/>
                <w:bCs/>
                <w:sz w:val="18"/>
                <w:szCs w:val="20"/>
              </w:rPr>
            </w:pPr>
            <w:r>
              <w:rPr>
                <w:b/>
                <w:sz w:val="18"/>
              </w:rPr>
              <w:t xml:space="preserve">% </w:t>
            </w:r>
            <w:r w:rsidR="00922A39">
              <w:rPr>
                <w:b/>
                <w:sz w:val="18"/>
              </w:rPr>
              <w:t>change</w:t>
            </w:r>
          </w:p>
        </w:tc>
      </w:tr>
      <w:tr w:rsidR="00505379" w:rsidRPr="004B4CA1" w:rsidTr="00505379">
        <w:trPr>
          <w:cantSplit/>
          <w:trHeight w:hRule="exact" w:val="284"/>
          <w:tblCellSpacing w:w="20" w:type="dxa"/>
          <w:jc w:val="center"/>
        </w:trPr>
        <w:tc>
          <w:tcPr>
            <w:tcW w:w="2278" w:type="pct"/>
            <w:vAlign w:val="center"/>
          </w:tcPr>
          <w:p w:rsidR="00505379" w:rsidRPr="004B4CA1" w:rsidRDefault="00505379" w:rsidP="008B1AF7">
            <w:pPr>
              <w:rPr>
                <w:rFonts w:cs="Arial"/>
                <w:sz w:val="18"/>
                <w:szCs w:val="18"/>
              </w:rPr>
            </w:pPr>
            <w:r>
              <w:rPr>
                <w:sz w:val="18"/>
              </w:rPr>
              <w:t>Gross sales profit</w:t>
            </w:r>
          </w:p>
        </w:tc>
        <w:tc>
          <w:tcPr>
            <w:tcW w:w="942" w:type="pct"/>
            <w:vAlign w:val="center"/>
          </w:tcPr>
          <w:p w:rsidR="00505379" w:rsidRDefault="00CE78A1" w:rsidP="00D35E87">
            <w:pPr>
              <w:jc w:val="right"/>
              <w:rPr>
                <w:rFonts w:cs="Arial"/>
                <w:sz w:val="18"/>
                <w:szCs w:val="18"/>
              </w:rPr>
            </w:pPr>
            <w:r>
              <w:rPr>
                <w:rFonts w:cs="Arial"/>
                <w:sz w:val="18"/>
                <w:szCs w:val="18"/>
              </w:rPr>
              <w:t>55.</w:t>
            </w:r>
            <w:r w:rsidR="00505379">
              <w:rPr>
                <w:rFonts w:cs="Arial"/>
                <w:sz w:val="18"/>
                <w:szCs w:val="18"/>
              </w:rPr>
              <w:t>44</w:t>
            </w:r>
          </w:p>
        </w:tc>
        <w:tc>
          <w:tcPr>
            <w:tcW w:w="991" w:type="pct"/>
            <w:vAlign w:val="center"/>
          </w:tcPr>
          <w:p w:rsidR="00505379" w:rsidRDefault="00CE78A1" w:rsidP="00D35E87">
            <w:pPr>
              <w:jc w:val="right"/>
              <w:rPr>
                <w:rFonts w:cs="Arial"/>
                <w:sz w:val="18"/>
                <w:szCs w:val="18"/>
              </w:rPr>
            </w:pPr>
            <w:r>
              <w:rPr>
                <w:rFonts w:cs="Arial"/>
                <w:sz w:val="18"/>
                <w:szCs w:val="18"/>
              </w:rPr>
              <w:t>51.</w:t>
            </w:r>
            <w:r w:rsidR="00505379">
              <w:rPr>
                <w:rFonts w:cs="Arial"/>
                <w:sz w:val="18"/>
                <w:szCs w:val="18"/>
              </w:rPr>
              <w:t>97</w:t>
            </w:r>
          </w:p>
        </w:tc>
        <w:tc>
          <w:tcPr>
            <w:tcW w:w="682" w:type="pct"/>
            <w:vAlign w:val="center"/>
          </w:tcPr>
          <w:p w:rsidR="00505379" w:rsidRDefault="00CE78A1" w:rsidP="00D35E87">
            <w:pPr>
              <w:jc w:val="right"/>
              <w:rPr>
                <w:rFonts w:cs="Arial"/>
                <w:sz w:val="18"/>
                <w:szCs w:val="18"/>
              </w:rPr>
            </w:pPr>
            <w:r>
              <w:rPr>
                <w:rFonts w:cs="Arial"/>
                <w:sz w:val="18"/>
                <w:szCs w:val="18"/>
              </w:rPr>
              <w:t>6.</w:t>
            </w:r>
            <w:r w:rsidR="00505379">
              <w:rPr>
                <w:rFonts w:cs="Arial"/>
                <w:sz w:val="18"/>
                <w:szCs w:val="18"/>
              </w:rPr>
              <w:t>7</w:t>
            </w:r>
          </w:p>
        </w:tc>
      </w:tr>
      <w:tr w:rsidR="00505379" w:rsidRPr="004B4CA1" w:rsidTr="00505379">
        <w:trPr>
          <w:cantSplit/>
          <w:trHeight w:hRule="exact" w:val="284"/>
          <w:tblCellSpacing w:w="20" w:type="dxa"/>
          <w:jc w:val="center"/>
        </w:trPr>
        <w:tc>
          <w:tcPr>
            <w:tcW w:w="2278" w:type="pct"/>
            <w:vAlign w:val="center"/>
          </w:tcPr>
          <w:p w:rsidR="00505379" w:rsidRPr="004B4CA1" w:rsidRDefault="00505379" w:rsidP="008B1AF7">
            <w:pPr>
              <w:rPr>
                <w:rFonts w:cs="Arial"/>
                <w:sz w:val="18"/>
                <w:szCs w:val="18"/>
              </w:rPr>
            </w:pPr>
            <w:r>
              <w:rPr>
                <w:sz w:val="18"/>
              </w:rPr>
              <w:t>Operating profitability (EBIT margin)</w:t>
            </w:r>
          </w:p>
        </w:tc>
        <w:tc>
          <w:tcPr>
            <w:tcW w:w="942" w:type="pct"/>
            <w:vAlign w:val="center"/>
          </w:tcPr>
          <w:p w:rsidR="00505379" w:rsidRDefault="00CE78A1" w:rsidP="00D35E87">
            <w:pPr>
              <w:jc w:val="right"/>
              <w:rPr>
                <w:rFonts w:cs="Arial"/>
                <w:sz w:val="18"/>
                <w:szCs w:val="18"/>
              </w:rPr>
            </w:pPr>
            <w:r>
              <w:rPr>
                <w:rFonts w:cs="Arial"/>
                <w:sz w:val="18"/>
                <w:szCs w:val="18"/>
              </w:rPr>
              <w:t>10.</w:t>
            </w:r>
            <w:r w:rsidR="00505379">
              <w:rPr>
                <w:rFonts w:cs="Arial"/>
                <w:sz w:val="18"/>
                <w:szCs w:val="18"/>
              </w:rPr>
              <w:t>77</w:t>
            </w:r>
          </w:p>
        </w:tc>
        <w:tc>
          <w:tcPr>
            <w:tcW w:w="991" w:type="pct"/>
            <w:vAlign w:val="center"/>
          </w:tcPr>
          <w:p w:rsidR="00505379" w:rsidRDefault="00CE78A1" w:rsidP="00D35E87">
            <w:pPr>
              <w:jc w:val="right"/>
              <w:rPr>
                <w:rFonts w:cs="Arial"/>
                <w:sz w:val="18"/>
                <w:szCs w:val="18"/>
              </w:rPr>
            </w:pPr>
            <w:r>
              <w:rPr>
                <w:rFonts w:cs="Arial"/>
                <w:sz w:val="18"/>
                <w:szCs w:val="18"/>
              </w:rPr>
              <w:t>6.</w:t>
            </w:r>
            <w:r w:rsidR="00505379">
              <w:rPr>
                <w:rFonts w:cs="Arial"/>
                <w:sz w:val="18"/>
                <w:szCs w:val="18"/>
              </w:rPr>
              <w:t>09</w:t>
            </w:r>
          </w:p>
        </w:tc>
        <w:tc>
          <w:tcPr>
            <w:tcW w:w="682" w:type="pct"/>
            <w:vAlign w:val="center"/>
          </w:tcPr>
          <w:p w:rsidR="00505379" w:rsidRDefault="00CE78A1" w:rsidP="00D35E87">
            <w:pPr>
              <w:jc w:val="right"/>
              <w:rPr>
                <w:rFonts w:cs="Arial"/>
                <w:sz w:val="18"/>
                <w:szCs w:val="18"/>
              </w:rPr>
            </w:pPr>
            <w:r>
              <w:rPr>
                <w:rFonts w:cs="Arial"/>
                <w:sz w:val="18"/>
                <w:szCs w:val="18"/>
              </w:rPr>
              <w:t>76.</w:t>
            </w:r>
            <w:r w:rsidR="00505379">
              <w:rPr>
                <w:rFonts w:cs="Arial"/>
                <w:sz w:val="18"/>
                <w:szCs w:val="18"/>
              </w:rPr>
              <w:t>8</w:t>
            </w:r>
          </w:p>
        </w:tc>
      </w:tr>
      <w:tr w:rsidR="00505379" w:rsidRPr="004B4CA1" w:rsidTr="00505379">
        <w:trPr>
          <w:cantSplit/>
          <w:trHeight w:hRule="exact" w:val="284"/>
          <w:tblCellSpacing w:w="20" w:type="dxa"/>
          <w:jc w:val="center"/>
        </w:trPr>
        <w:tc>
          <w:tcPr>
            <w:tcW w:w="2278" w:type="pct"/>
            <w:vAlign w:val="center"/>
          </w:tcPr>
          <w:p w:rsidR="00505379" w:rsidRPr="004B4CA1" w:rsidRDefault="00505379" w:rsidP="008B1AF7">
            <w:pPr>
              <w:rPr>
                <w:rFonts w:cs="Arial"/>
                <w:sz w:val="18"/>
                <w:szCs w:val="18"/>
              </w:rPr>
            </w:pPr>
            <w:r>
              <w:rPr>
                <w:sz w:val="18"/>
              </w:rPr>
              <w:t>Gross profitability</w:t>
            </w:r>
          </w:p>
        </w:tc>
        <w:tc>
          <w:tcPr>
            <w:tcW w:w="942" w:type="pct"/>
            <w:vAlign w:val="center"/>
          </w:tcPr>
          <w:p w:rsidR="00505379" w:rsidRDefault="00CE78A1" w:rsidP="00D35E87">
            <w:pPr>
              <w:jc w:val="right"/>
              <w:rPr>
                <w:rFonts w:cs="Arial"/>
                <w:sz w:val="18"/>
                <w:szCs w:val="18"/>
              </w:rPr>
            </w:pPr>
            <w:r>
              <w:rPr>
                <w:rFonts w:cs="Arial"/>
                <w:sz w:val="18"/>
                <w:szCs w:val="18"/>
              </w:rPr>
              <w:t>9.</w:t>
            </w:r>
            <w:r w:rsidR="00505379">
              <w:rPr>
                <w:rFonts w:cs="Arial"/>
                <w:sz w:val="18"/>
                <w:szCs w:val="18"/>
              </w:rPr>
              <w:t>90</w:t>
            </w:r>
          </w:p>
        </w:tc>
        <w:tc>
          <w:tcPr>
            <w:tcW w:w="991" w:type="pct"/>
            <w:vAlign w:val="center"/>
          </w:tcPr>
          <w:p w:rsidR="00505379" w:rsidRDefault="00CE78A1" w:rsidP="00D35E87">
            <w:pPr>
              <w:jc w:val="right"/>
              <w:rPr>
                <w:rFonts w:cs="Arial"/>
                <w:sz w:val="18"/>
                <w:szCs w:val="18"/>
              </w:rPr>
            </w:pPr>
            <w:r>
              <w:rPr>
                <w:rFonts w:cs="Arial"/>
                <w:sz w:val="18"/>
                <w:szCs w:val="18"/>
              </w:rPr>
              <w:t>5.</w:t>
            </w:r>
            <w:r w:rsidR="00505379">
              <w:rPr>
                <w:rFonts w:cs="Arial"/>
                <w:sz w:val="18"/>
                <w:szCs w:val="18"/>
              </w:rPr>
              <w:t>23</w:t>
            </w:r>
          </w:p>
        </w:tc>
        <w:tc>
          <w:tcPr>
            <w:tcW w:w="682" w:type="pct"/>
            <w:vAlign w:val="center"/>
          </w:tcPr>
          <w:p w:rsidR="00505379" w:rsidRDefault="00CE78A1" w:rsidP="00D35E87">
            <w:pPr>
              <w:jc w:val="right"/>
              <w:rPr>
                <w:rFonts w:cs="Arial"/>
                <w:sz w:val="18"/>
                <w:szCs w:val="18"/>
              </w:rPr>
            </w:pPr>
            <w:r>
              <w:rPr>
                <w:rFonts w:cs="Arial"/>
                <w:sz w:val="18"/>
                <w:szCs w:val="18"/>
              </w:rPr>
              <w:t>89.</w:t>
            </w:r>
            <w:r w:rsidR="00505379">
              <w:rPr>
                <w:rFonts w:cs="Arial"/>
                <w:sz w:val="18"/>
                <w:szCs w:val="18"/>
              </w:rPr>
              <w:t>3</w:t>
            </w:r>
          </w:p>
        </w:tc>
      </w:tr>
      <w:tr w:rsidR="00505379" w:rsidRPr="004B4CA1" w:rsidTr="00505379">
        <w:trPr>
          <w:cantSplit/>
          <w:trHeight w:hRule="exact" w:val="284"/>
          <w:tblCellSpacing w:w="20" w:type="dxa"/>
          <w:jc w:val="center"/>
        </w:trPr>
        <w:tc>
          <w:tcPr>
            <w:tcW w:w="2278" w:type="pct"/>
            <w:vAlign w:val="center"/>
          </w:tcPr>
          <w:p w:rsidR="00505379" w:rsidRPr="004B4CA1" w:rsidRDefault="00505379" w:rsidP="008B1AF7">
            <w:pPr>
              <w:rPr>
                <w:rFonts w:cs="Arial"/>
                <w:sz w:val="18"/>
                <w:szCs w:val="18"/>
              </w:rPr>
            </w:pPr>
            <w:r>
              <w:rPr>
                <w:sz w:val="18"/>
              </w:rPr>
              <w:t>Net profitability</w:t>
            </w:r>
          </w:p>
        </w:tc>
        <w:tc>
          <w:tcPr>
            <w:tcW w:w="942" w:type="pct"/>
            <w:vAlign w:val="center"/>
          </w:tcPr>
          <w:p w:rsidR="00505379" w:rsidRPr="00587009" w:rsidRDefault="00CE78A1" w:rsidP="00D35E87">
            <w:pPr>
              <w:jc w:val="right"/>
              <w:rPr>
                <w:rFonts w:cs="Arial"/>
                <w:sz w:val="18"/>
                <w:szCs w:val="18"/>
              </w:rPr>
            </w:pPr>
            <w:r>
              <w:rPr>
                <w:rFonts w:cs="Arial"/>
                <w:sz w:val="18"/>
                <w:szCs w:val="18"/>
              </w:rPr>
              <w:t>8.</w:t>
            </w:r>
            <w:r w:rsidR="00505379">
              <w:rPr>
                <w:rFonts w:cs="Arial"/>
                <w:sz w:val="18"/>
                <w:szCs w:val="18"/>
              </w:rPr>
              <w:t>20</w:t>
            </w:r>
          </w:p>
        </w:tc>
        <w:tc>
          <w:tcPr>
            <w:tcW w:w="991" w:type="pct"/>
            <w:vAlign w:val="center"/>
          </w:tcPr>
          <w:p w:rsidR="00505379" w:rsidRPr="00587009" w:rsidRDefault="00CE78A1" w:rsidP="00D35E87">
            <w:pPr>
              <w:jc w:val="right"/>
              <w:rPr>
                <w:rFonts w:cs="Arial"/>
                <w:sz w:val="18"/>
                <w:szCs w:val="18"/>
              </w:rPr>
            </w:pPr>
            <w:r>
              <w:rPr>
                <w:rFonts w:cs="Arial"/>
                <w:sz w:val="18"/>
                <w:szCs w:val="18"/>
              </w:rPr>
              <w:t>4.</w:t>
            </w:r>
            <w:r w:rsidR="00505379">
              <w:rPr>
                <w:rFonts w:cs="Arial"/>
                <w:sz w:val="18"/>
                <w:szCs w:val="18"/>
              </w:rPr>
              <w:t>58</w:t>
            </w:r>
          </w:p>
        </w:tc>
        <w:tc>
          <w:tcPr>
            <w:tcW w:w="682" w:type="pct"/>
            <w:vAlign w:val="center"/>
          </w:tcPr>
          <w:p w:rsidR="00505379" w:rsidRPr="00587009" w:rsidRDefault="00CE78A1" w:rsidP="00D35E87">
            <w:pPr>
              <w:jc w:val="right"/>
              <w:rPr>
                <w:rFonts w:cs="Arial"/>
                <w:sz w:val="18"/>
                <w:szCs w:val="18"/>
              </w:rPr>
            </w:pPr>
            <w:r>
              <w:rPr>
                <w:rFonts w:cs="Arial"/>
                <w:sz w:val="18"/>
                <w:szCs w:val="18"/>
              </w:rPr>
              <w:t>79.</w:t>
            </w:r>
            <w:r w:rsidR="00505379">
              <w:rPr>
                <w:rFonts w:cs="Arial"/>
                <w:sz w:val="18"/>
                <w:szCs w:val="18"/>
              </w:rPr>
              <w:t>0</w:t>
            </w:r>
          </w:p>
        </w:tc>
      </w:tr>
      <w:tr w:rsidR="00505379" w:rsidRPr="004B4CA1" w:rsidTr="00505379">
        <w:trPr>
          <w:cantSplit/>
          <w:trHeight w:hRule="exact" w:val="284"/>
          <w:tblCellSpacing w:w="20" w:type="dxa"/>
          <w:jc w:val="center"/>
        </w:trPr>
        <w:tc>
          <w:tcPr>
            <w:tcW w:w="2278" w:type="pct"/>
            <w:vAlign w:val="center"/>
          </w:tcPr>
          <w:p w:rsidR="00505379" w:rsidRPr="004B4CA1" w:rsidRDefault="00505379" w:rsidP="008B1AF7">
            <w:pPr>
              <w:rPr>
                <w:rFonts w:cs="Arial"/>
                <w:sz w:val="18"/>
                <w:szCs w:val="18"/>
              </w:rPr>
            </w:pPr>
            <w:r>
              <w:rPr>
                <w:sz w:val="18"/>
              </w:rPr>
              <w:t>Return on assets (ROA)</w:t>
            </w:r>
          </w:p>
        </w:tc>
        <w:tc>
          <w:tcPr>
            <w:tcW w:w="942" w:type="pct"/>
            <w:vAlign w:val="center"/>
          </w:tcPr>
          <w:p w:rsidR="00505379" w:rsidRPr="00587009" w:rsidRDefault="00CE78A1" w:rsidP="00D35E87">
            <w:pPr>
              <w:jc w:val="right"/>
              <w:rPr>
                <w:rFonts w:cs="Arial"/>
                <w:sz w:val="18"/>
                <w:szCs w:val="18"/>
              </w:rPr>
            </w:pPr>
            <w:r>
              <w:rPr>
                <w:rFonts w:cs="Arial"/>
                <w:sz w:val="18"/>
                <w:szCs w:val="18"/>
              </w:rPr>
              <w:t>4.</w:t>
            </w:r>
            <w:r w:rsidR="00505379">
              <w:rPr>
                <w:rFonts w:cs="Arial"/>
                <w:sz w:val="18"/>
                <w:szCs w:val="18"/>
              </w:rPr>
              <w:t>20</w:t>
            </w:r>
          </w:p>
        </w:tc>
        <w:tc>
          <w:tcPr>
            <w:tcW w:w="991" w:type="pct"/>
            <w:vAlign w:val="center"/>
          </w:tcPr>
          <w:p w:rsidR="00505379" w:rsidRPr="00587009" w:rsidRDefault="00CE78A1" w:rsidP="00D35E87">
            <w:pPr>
              <w:jc w:val="right"/>
              <w:rPr>
                <w:rFonts w:cs="Arial"/>
                <w:sz w:val="18"/>
                <w:szCs w:val="18"/>
              </w:rPr>
            </w:pPr>
            <w:r>
              <w:rPr>
                <w:rFonts w:cs="Arial"/>
                <w:sz w:val="18"/>
                <w:szCs w:val="18"/>
              </w:rPr>
              <w:t>2.</w:t>
            </w:r>
            <w:r w:rsidR="00505379">
              <w:rPr>
                <w:rFonts w:cs="Arial"/>
                <w:sz w:val="18"/>
                <w:szCs w:val="18"/>
              </w:rPr>
              <w:t>93</w:t>
            </w:r>
          </w:p>
        </w:tc>
        <w:tc>
          <w:tcPr>
            <w:tcW w:w="682" w:type="pct"/>
            <w:vAlign w:val="center"/>
          </w:tcPr>
          <w:p w:rsidR="00505379" w:rsidRPr="00587009" w:rsidRDefault="00CE78A1" w:rsidP="00D35E87">
            <w:pPr>
              <w:jc w:val="right"/>
              <w:rPr>
                <w:rFonts w:cs="Arial"/>
                <w:sz w:val="18"/>
                <w:szCs w:val="18"/>
              </w:rPr>
            </w:pPr>
            <w:r>
              <w:rPr>
                <w:rFonts w:cs="Arial"/>
                <w:sz w:val="18"/>
                <w:szCs w:val="18"/>
              </w:rPr>
              <w:t>43.</w:t>
            </w:r>
            <w:r w:rsidR="00505379">
              <w:rPr>
                <w:rFonts w:cs="Arial"/>
                <w:sz w:val="18"/>
                <w:szCs w:val="18"/>
              </w:rPr>
              <w:t>3</w:t>
            </w:r>
          </w:p>
        </w:tc>
      </w:tr>
      <w:tr w:rsidR="00505379" w:rsidRPr="004B4CA1" w:rsidTr="00505379">
        <w:trPr>
          <w:cantSplit/>
          <w:trHeight w:hRule="exact" w:val="284"/>
          <w:tblCellSpacing w:w="20" w:type="dxa"/>
          <w:jc w:val="center"/>
        </w:trPr>
        <w:tc>
          <w:tcPr>
            <w:tcW w:w="2278" w:type="pct"/>
            <w:vAlign w:val="center"/>
          </w:tcPr>
          <w:p w:rsidR="00505379" w:rsidRPr="004B4CA1" w:rsidRDefault="00505379" w:rsidP="008B1AF7">
            <w:pPr>
              <w:rPr>
                <w:rFonts w:cs="Arial"/>
                <w:sz w:val="18"/>
                <w:szCs w:val="18"/>
              </w:rPr>
            </w:pPr>
            <w:r>
              <w:rPr>
                <w:sz w:val="18"/>
              </w:rPr>
              <w:t>Return on equity (ROE)</w:t>
            </w:r>
          </w:p>
        </w:tc>
        <w:tc>
          <w:tcPr>
            <w:tcW w:w="942" w:type="pct"/>
            <w:vAlign w:val="center"/>
          </w:tcPr>
          <w:p w:rsidR="00505379" w:rsidRPr="00587009" w:rsidRDefault="00CE78A1" w:rsidP="00D35E87">
            <w:pPr>
              <w:jc w:val="right"/>
              <w:rPr>
                <w:rFonts w:cs="Arial"/>
                <w:sz w:val="18"/>
                <w:szCs w:val="18"/>
              </w:rPr>
            </w:pPr>
            <w:r>
              <w:rPr>
                <w:rFonts w:cs="Arial"/>
                <w:sz w:val="18"/>
                <w:szCs w:val="18"/>
              </w:rPr>
              <w:t>11.</w:t>
            </w:r>
            <w:r w:rsidR="00505379">
              <w:rPr>
                <w:rFonts w:cs="Arial"/>
                <w:sz w:val="18"/>
                <w:szCs w:val="18"/>
              </w:rPr>
              <w:t>66</w:t>
            </w:r>
          </w:p>
        </w:tc>
        <w:tc>
          <w:tcPr>
            <w:tcW w:w="991" w:type="pct"/>
            <w:vAlign w:val="center"/>
          </w:tcPr>
          <w:p w:rsidR="00505379" w:rsidRPr="00587009" w:rsidRDefault="00CE78A1" w:rsidP="00D35E87">
            <w:pPr>
              <w:jc w:val="right"/>
              <w:rPr>
                <w:rFonts w:cs="Arial"/>
                <w:sz w:val="18"/>
                <w:szCs w:val="18"/>
              </w:rPr>
            </w:pPr>
            <w:r>
              <w:rPr>
                <w:rFonts w:cs="Arial"/>
                <w:sz w:val="18"/>
                <w:szCs w:val="18"/>
              </w:rPr>
              <w:t>5.</w:t>
            </w:r>
            <w:r w:rsidR="00505379">
              <w:rPr>
                <w:rFonts w:cs="Arial"/>
                <w:sz w:val="18"/>
                <w:szCs w:val="18"/>
              </w:rPr>
              <w:t>93</w:t>
            </w:r>
          </w:p>
        </w:tc>
        <w:tc>
          <w:tcPr>
            <w:tcW w:w="682" w:type="pct"/>
            <w:vAlign w:val="center"/>
          </w:tcPr>
          <w:p w:rsidR="00505379" w:rsidRPr="00587009" w:rsidRDefault="00C607E3" w:rsidP="00D35E87">
            <w:pPr>
              <w:jc w:val="right"/>
              <w:rPr>
                <w:rFonts w:cs="Arial"/>
                <w:sz w:val="18"/>
                <w:szCs w:val="18"/>
              </w:rPr>
            </w:pPr>
            <w:r>
              <w:rPr>
                <w:rFonts w:cs="Arial"/>
                <w:sz w:val="18"/>
                <w:szCs w:val="18"/>
              </w:rPr>
              <w:t>96.</w:t>
            </w:r>
            <w:r w:rsidR="00505379">
              <w:rPr>
                <w:rFonts w:cs="Arial"/>
                <w:sz w:val="18"/>
                <w:szCs w:val="18"/>
              </w:rPr>
              <w:t>6</w:t>
            </w:r>
          </w:p>
        </w:tc>
      </w:tr>
    </w:tbl>
    <w:p w:rsidR="00922A39" w:rsidRDefault="00922A39" w:rsidP="00922A39">
      <w:pPr>
        <w:jc w:val="both"/>
        <w:rPr>
          <w:rFonts w:cs="Arial"/>
          <w:sz w:val="12"/>
          <w:szCs w:val="12"/>
        </w:rPr>
      </w:pPr>
    </w:p>
    <w:p w:rsidR="00FE6AEA" w:rsidRDefault="00FE6AEA" w:rsidP="00922A39">
      <w:pPr>
        <w:jc w:val="both"/>
        <w:rPr>
          <w:rFonts w:cs="Arial"/>
          <w:sz w:val="12"/>
          <w:szCs w:val="12"/>
        </w:rPr>
      </w:pPr>
    </w:p>
    <w:p w:rsidR="00FE6AEA" w:rsidRDefault="00FE6AEA" w:rsidP="00922A39">
      <w:pPr>
        <w:jc w:val="both"/>
        <w:rPr>
          <w:rFonts w:cs="Arial"/>
          <w:sz w:val="12"/>
          <w:szCs w:val="12"/>
        </w:rPr>
      </w:pPr>
    </w:p>
    <w:p w:rsidR="00FE6AEA" w:rsidRDefault="00FE6AEA" w:rsidP="00922A39">
      <w:pPr>
        <w:jc w:val="both"/>
        <w:rPr>
          <w:rFonts w:cs="Arial"/>
          <w:sz w:val="12"/>
          <w:szCs w:val="12"/>
        </w:rPr>
      </w:pPr>
    </w:p>
    <w:p w:rsidR="00FE6AEA" w:rsidRDefault="00FE6AEA" w:rsidP="00922A39">
      <w:pPr>
        <w:jc w:val="both"/>
        <w:rPr>
          <w:rFonts w:cs="Arial"/>
          <w:sz w:val="12"/>
          <w:szCs w:val="12"/>
        </w:rPr>
      </w:pPr>
    </w:p>
    <w:p w:rsidR="00FE6AEA" w:rsidRDefault="00FE6AEA" w:rsidP="00922A39">
      <w:pPr>
        <w:jc w:val="both"/>
        <w:rPr>
          <w:rFonts w:cs="Arial"/>
          <w:sz w:val="12"/>
          <w:szCs w:val="12"/>
        </w:rPr>
      </w:pPr>
    </w:p>
    <w:p w:rsidR="00FE6AEA" w:rsidRDefault="00FE6AEA" w:rsidP="00922A39">
      <w:pPr>
        <w:jc w:val="both"/>
        <w:rPr>
          <w:rFonts w:cs="Arial"/>
          <w:sz w:val="12"/>
          <w:szCs w:val="12"/>
        </w:rPr>
      </w:pPr>
    </w:p>
    <w:p w:rsidR="00FE6AEA" w:rsidRPr="004B4CA1" w:rsidRDefault="00FE6AEA" w:rsidP="00922A39">
      <w:pPr>
        <w:jc w:val="both"/>
        <w:rPr>
          <w:rFonts w:cs="Arial"/>
          <w:sz w:val="12"/>
          <w:szCs w:val="12"/>
        </w:rPr>
      </w:pPr>
    </w:p>
    <w:p w:rsidR="00FE6AEA" w:rsidRPr="00505379" w:rsidRDefault="00FE6AEA" w:rsidP="00505379">
      <w:pPr>
        <w:rPr>
          <w:b/>
        </w:rPr>
      </w:pPr>
      <w:r>
        <w:rPr>
          <w:b/>
        </w:rPr>
        <w:t>3.</w:t>
      </w:r>
      <w:r>
        <w:tab/>
      </w:r>
      <w:r>
        <w:rPr>
          <w:b/>
        </w:rPr>
        <w:t>The discussion of the basic economic and financial results (...) (cont.)</w:t>
      </w:r>
    </w:p>
    <w:p w:rsidR="00FE6AEA" w:rsidRDefault="00FE6AEA" w:rsidP="00922A39">
      <w:pPr>
        <w:jc w:val="both"/>
        <w:rPr>
          <w:sz w:val="18"/>
        </w:rPr>
      </w:pPr>
    </w:p>
    <w:p w:rsidR="00922A39" w:rsidRPr="004B4CA1" w:rsidRDefault="00922A39" w:rsidP="00922A39">
      <w:pPr>
        <w:jc w:val="both"/>
        <w:rPr>
          <w:rFonts w:cs="Arial"/>
          <w:sz w:val="18"/>
          <w:szCs w:val="20"/>
        </w:rPr>
      </w:pPr>
      <w:r>
        <w:rPr>
          <w:sz w:val="18"/>
        </w:rPr>
        <w:t>Definitions:</w:t>
      </w:r>
    </w:p>
    <w:p w:rsidR="00922A39" w:rsidRPr="004B4CA1" w:rsidRDefault="00922A39" w:rsidP="00922A39">
      <w:pPr>
        <w:numPr>
          <w:ilvl w:val="0"/>
          <w:numId w:val="9"/>
        </w:numPr>
        <w:jc w:val="both"/>
        <w:rPr>
          <w:rFonts w:cs="Arial"/>
          <w:sz w:val="18"/>
          <w:szCs w:val="18"/>
        </w:rPr>
      </w:pPr>
      <w:bookmarkStart w:id="11" w:name="OLE_LINK3"/>
      <w:r>
        <w:rPr>
          <w:b/>
          <w:sz w:val="18"/>
        </w:rPr>
        <w:t>Gross profit margin on sales</w:t>
      </w:r>
      <w:r>
        <w:rPr>
          <w:sz w:val="18"/>
        </w:rPr>
        <w:t xml:space="preserve"> – The ratio of gross </w:t>
      </w:r>
      <w:r w:rsidR="00C607E3">
        <w:rPr>
          <w:sz w:val="18"/>
        </w:rPr>
        <w:t>sales profit</w:t>
      </w:r>
      <w:r>
        <w:rPr>
          <w:sz w:val="18"/>
        </w:rPr>
        <w:t xml:space="preserve"> to the </w:t>
      </w:r>
      <w:r w:rsidR="00C607E3">
        <w:rPr>
          <w:sz w:val="18"/>
        </w:rPr>
        <w:t>sales revenues</w:t>
      </w:r>
      <w:r>
        <w:rPr>
          <w:sz w:val="18"/>
        </w:rPr>
        <w:t>,</w:t>
      </w:r>
    </w:p>
    <w:p w:rsidR="00922A39" w:rsidRPr="004B4CA1" w:rsidRDefault="00922A39" w:rsidP="00922A39">
      <w:pPr>
        <w:numPr>
          <w:ilvl w:val="0"/>
          <w:numId w:val="9"/>
        </w:numPr>
        <w:jc w:val="both"/>
        <w:rPr>
          <w:rFonts w:cs="Arial"/>
          <w:sz w:val="18"/>
          <w:szCs w:val="18"/>
        </w:rPr>
      </w:pPr>
      <w:r>
        <w:rPr>
          <w:b/>
          <w:sz w:val="18"/>
        </w:rPr>
        <w:t>Operating profitability (EBIT margin)</w:t>
      </w:r>
      <w:r>
        <w:rPr>
          <w:sz w:val="18"/>
        </w:rPr>
        <w:t xml:space="preserve"> – The ratio of operating profit to </w:t>
      </w:r>
      <w:r w:rsidR="00C607E3">
        <w:rPr>
          <w:sz w:val="18"/>
        </w:rPr>
        <w:t>sales revenues</w:t>
      </w:r>
      <w:r>
        <w:rPr>
          <w:sz w:val="18"/>
        </w:rPr>
        <w:t>,</w:t>
      </w:r>
    </w:p>
    <w:p w:rsidR="00922A39" w:rsidRPr="004B4CA1" w:rsidRDefault="00922A39" w:rsidP="00922A39">
      <w:pPr>
        <w:numPr>
          <w:ilvl w:val="0"/>
          <w:numId w:val="9"/>
        </w:numPr>
        <w:jc w:val="both"/>
        <w:rPr>
          <w:rFonts w:cs="Arial"/>
          <w:sz w:val="18"/>
          <w:szCs w:val="18"/>
        </w:rPr>
      </w:pPr>
      <w:r>
        <w:rPr>
          <w:b/>
          <w:sz w:val="18"/>
        </w:rPr>
        <w:t>Gross margin</w:t>
      </w:r>
      <w:r>
        <w:rPr>
          <w:sz w:val="18"/>
        </w:rPr>
        <w:t xml:space="preserve"> </w:t>
      </w:r>
      <w:r w:rsidR="00CA03EC">
        <w:rPr>
          <w:sz w:val="18"/>
        </w:rPr>
        <w:t>–</w:t>
      </w:r>
      <w:r>
        <w:rPr>
          <w:sz w:val="18"/>
        </w:rPr>
        <w:t xml:space="preserve"> The ratio of gross profit to </w:t>
      </w:r>
      <w:r w:rsidR="00C607E3">
        <w:rPr>
          <w:sz w:val="18"/>
        </w:rPr>
        <w:t>sales revenues</w:t>
      </w:r>
      <w:r>
        <w:rPr>
          <w:sz w:val="18"/>
        </w:rPr>
        <w:t>,</w:t>
      </w:r>
    </w:p>
    <w:p w:rsidR="00922A39" w:rsidRPr="004B4CA1" w:rsidRDefault="00922A39" w:rsidP="00922A39">
      <w:pPr>
        <w:numPr>
          <w:ilvl w:val="0"/>
          <w:numId w:val="9"/>
        </w:numPr>
        <w:jc w:val="both"/>
        <w:rPr>
          <w:rFonts w:cs="Arial"/>
          <w:sz w:val="18"/>
          <w:szCs w:val="18"/>
        </w:rPr>
      </w:pPr>
      <w:r>
        <w:rPr>
          <w:b/>
          <w:sz w:val="18"/>
        </w:rPr>
        <w:t>Net profitability</w:t>
      </w:r>
      <w:r>
        <w:rPr>
          <w:sz w:val="18"/>
        </w:rPr>
        <w:t xml:space="preserve"> </w:t>
      </w:r>
      <w:r w:rsidR="00CA03EC">
        <w:rPr>
          <w:sz w:val="18"/>
        </w:rPr>
        <w:t>–</w:t>
      </w:r>
      <w:r>
        <w:rPr>
          <w:sz w:val="18"/>
        </w:rPr>
        <w:t xml:space="preserve"> The ratio of net profit to </w:t>
      </w:r>
      <w:r w:rsidR="001E4786">
        <w:rPr>
          <w:sz w:val="18"/>
        </w:rPr>
        <w:t>sales revenues</w:t>
      </w:r>
      <w:r>
        <w:rPr>
          <w:sz w:val="18"/>
        </w:rPr>
        <w:t>,</w:t>
      </w:r>
    </w:p>
    <w:p w:rsidR="00922A39" w:rsidRPr="004B4CA1" w:rsidRDefault="00922A39" w:rsidP="00922A39">
      <w:pPr>
        <w:numPr>
          <w:ilvl w:val="0"/>
          <w:numId w:val="9"/>
        </w:numPr>
        <w:jc w:val="both"/>
        <w:rPr>
          <w:rFonts w:cs="Arial"/>
          <w:sz w:val="18"/>
          <w:szCs w:val="18"/>
        </w:rPr>
      </w:pPr>
      <w:r>
        <w:rPr>
          <w:b/>
          <w:sz w:val="18"/>
        </w:rPr>
        <w:t>Return on assets (ROA)</w:t>
      </w:r>
      <w:r>
        <w:rPr>
          <w:sz w:val="18"/>
        </w:rPr>
        <w:t xml:space="preserve"> </w:t>
      </w:r>
      <w:r w:rsidR="00CA03EC">
        <w:rPr>
          <w:sz w:val="18"/>
        </w:rPr>
        <w:t>–</w:t>
      </w:r>
      <w:r>
        <w:rPr>
          <w:sz w:val="18"/>
        </w:rPr>
        <w:t xml:space="preserve"> The ratio of net profit to total assets,</w:t>
      </w:r>
    </w:p>
    <w:p w:rsidR="0086492B" w:rsidRPr="004B4CA1" w:rsidRDefault="00922A39" w:rsidP="00922A39">
      <w:pPr>
        <w:numPr>
          <w:ilvl w:val="0"/>
          <w:numId w:val="9"/>
        </w:numPr>
        <w:jc w:val="both"/>
        <w:rPr>
          <w:rFonts w:cs="Arial"/>
          <w:sz w:val="18"/>
          <w:szCs w:val="20"/>
        </w:rPr>
      </w:pPr>
      <w:r>
        <w:rPr>
          <w:b/>
          <w:sz w:val="18"/>
        </w:rPr>
        <w:t>Return on equity (ROE)</w:t>
      </w:r>
      <w:r w:rsidR="00CA03EC">
        <w:rPr>
          <w:sz w:val="18"/>
        </w:rPr>
        <w:t xml:space="preserve"> –</w:t>
      </w:r>
      <w:r>
        <w:rPr>
          <w:sz w:val="18"/>
        </w:rPr>
        <w:t xml:space="preserve"> The ratio of net profit to equity.</w:t>
      </w:r>
      <w:bookmarkEnd w:id="11"/>
    </w:p>
    <w:p w:rsidR="00A51066" w:rsidRPr="004B4CA1" w:rsidRDefault="00A51066" w:rsidP="00A51066">
      <w:pPr>
        <w:ind w:left="720"/>
        <w:jc w:val="both"/>
        <w:rPr>
          <w:rFonts w:cs="Arial"/>
          <w:sz w:val="12"/>
          <w:szCs w:val="12"/>
        </w:rPr>
      </w:pPr>
    </w:p>
    <w:p w:rsidR="00922A39" w:rsidRPr="004B4CA1" w:rsidRDefault="00922A39" w:rsidP="00922A39">
      <w:pPr>
        <w:pStyle w:val="Legenda"/>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7</w:t>
      </w:r>
      <w:r w:rsidR="000418D6" w:rsidRPr="004B4CA1">
        <w:rPr>
          <w:noProof/>
        </w:rPr>
        <w:fldChar w:fldCharType="end"/>
      </w:r>
      <w:r>
        <w:t>. Liquidity ratios</w:t>
      </w:r>
    </w:p>
    <w:tbl>
      <w:tblPr>
        <w:tblW w:w="4900" w:type="pct"/>
        <w:jc w:val="center"/>
        <w:tblCellSpacing w:w="20" w:type="dxa"/>
        <w:tblInd w:w="18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372"/>
        <w:gridCol w:w="1800"/>
        <w:gridCol w:w="1898"/>
        <w:gridCol w:w="1344"/>
      </w:tblGrid>
      <w:tr w:rsidR="00D26564" w:rsidRPr="004B4CA1" w:rsidTr="001E4786">
        <w:trPr>
          <w:cantSplit/>
          <w:trHeight w:hRule="exact" w:val="510"/>
          <w:tblCellSpacing w:w="20" w:type="dxa"/>
          <w:jc w:val="center"/>
        </w:trPr>
        <w:tc>
          <w:tcPr>
            <w:tcW w:w="2290" w:type="pct"/>
            <w:tcBorders>
              <w:bottom w:val="outset" w:sz="6" w:space="0" w:color="auto"/>
            </w:tcBorders>
            <w:shd w:val="clear" w:color="auto" w:fill="D9D9D9" w:themeFill="background1" w:themeFillShade="D9"/>
            <w:vAlign w:val="center"/>
          </w:tcPr>
          <w:p w:rsidR="00D26564" w:rsidRPr="004B4CA1" w:rsidRDefault="00D26564" w:rsidP="00922A39">
            <w:pPr>
              <w:keepNext/>
              <w:keepLines/>
              <w:autoSpaceDE w:val="0"/>
              <w:autoSpaceDN w:val="0"/>
              <w:adjustRightInd w:val="0"/>
              <w:jc w:val="center"/>
              <w:rPr>
                <w:rFonts w:cs="Arial"/>
                <w:b/>
                <w:bCs/>
                <w:sz w:val="18"/>
                <w:szCs w:val="20"/>
              </w:rPr>
            </w:pPr>
            <w:bookmarkStart w:id="12" w:name="OLE_LINK4"/>
            <w:r>
              <w:rPr>
                <w:b/>
                <w:sz w:val="18"/>
              </w:rPr>
              <w:t>Amount</w:t>
            </w:r>
          </w:p>
        </w:tc>
        <w:tc>
          <w:tcPr>
            <w:tcW w:w="935" w:type="pct"/>
            <w:shd w:val="clear" w:color="auto" w:fill="D9D9D9" w:themeFill="background1" w:themeFillShade="D9"/>
            <w:vAlign w:val="center"/>
          </w:tcPr>
          <w:p w:rsidR="00D26564" w:rsidRPr="004B4CA1" w:rsidRDefault="00D26564" w:rsidP="00FC3C2D">
            <w:pPr>
              <w:keepNext/>
              <w:keepLines/>
              <w:autoSpaceDE w:val="0"/>
              <w:autoSpaceDN w:val="0"/>
              <w:adjustRightInd w:val="0"/>
              <w:jc w:val="center"/>
              <w:rPr>
                <w:rFonts w:cs="Arial"/>
                <w:b/>
                <w:bCs/>
                <w:sz w:val="18"/>
                <w:szCs w:val="20"/>
              </w:rPr>
            </w:pPr>
            <w:r>
              <w:rPr>
                <w:b/>
                <w:sz w:val="18"/>
              </w:rPr>
              <w:t xml:space="preserve">1H </w:t>
            </w:r>
            <w:r w:rsidR="006426A9">
              <w:rPr>
                <w:b/>
                <w:sz w:val="18"/>
              </w:rPr>
              <w:t>2014</w:t>
            </w:r>
          </w:p>
        </w:tc>
        <w:tc>
          <w:tcPr>
            <w:tcW w:w="987" w:type="pct"/>
            <w:shd w:val="clear" w:color="auto" w:fill="D9D9D9" w:themeFill="background1" w:themeFillShade="D9"/>
            <w:vAlign w:val="center"/>
          </w:tcPr>
          <w:p w:rsidR="00D26564" w:rsidRPr="004B4CA1" w:rsidRDefault="00D26564" w:rsidP="00FC3C2D">
            <w:pPr>
              <w:keepNext/>
              <w:keepLines/>
              <w:autoSpaceDE w:val="0"/>
              <w:autoSpaceDN w:val="0"/>
              <w:adjustRightInd w:val="0"/>
              <w:jc w:val="center"/>
              <w:rPr>
                <w:rFonts w:cs="Arial"/>
                <w:b/>
                <w:bCs/>
                <w:sz w:val="18"/>
                <w:szCs w:val="20"/>
              </w:rPr>
            </w:pPr>
            <w:r>
              <w:rPr>
                <w:b/>
                <w:sz w:val="18"/>
              </w:rPr>
              <w:t xml:space="preserve">1H </w:t>
            </w:r>
            <w:r w:rsidR="00B26839">
              <w:rPr>
                <w:b/>
                <w:sz w:val="18"/>
              </w:rPr>
              <w:t>2013</w:t>
            </w:r>
          </w:p>
        </w:tc>
        <w:tc>
          <w:tcPr>
            <w:tcW w:w="682" w:type="pct"/>
            <w:shd w:val="clear" w:color="auto" w:fill="D9D9D9" w:themeFill="background1" w:themeFillShade="D9"/>
            <w:vAlign w:val="center"/>
          </w:tcPr>
          <w:p w:rsidR="00D26564" w:rsidRPr="004B4CA1" w:rsidRDefault="001E4786" w:rsidP="00922A39">
            <w:pPr>
              <w:keepNext/>
              <w:keepLines/>
              <w:autoSpaceDE w:val="0"/>
              <w:autoSpaceDN w:val="0"/>
              <w:adjustRightInd w:val="0"/>
              <w:jc w:val="center"/>
              <w:rPr>
                <w:rFonts w:cs="Arial"/>
                <w:b/>
                <w:bCs/>
                <w:sz w:val="18"/>
                <w:szCs w:val="20"/>
              </w:rPr>
            </w:pPr>
            <w:r>
              <w:rPr>
                <w:b/>
                <w:sz w:val="18"/>
              </w:rPr>
              <w:t xml:space="preserve">% </w:t>
            </w:r>
            <w:r w:rsidR="00D26564">
              <w:rPr>
                <w:b/>
                <w:sz w:val="18"/>
              </w:rPr>
              <w:t>change</w:t>
            </w:r>
          </w:p>
        </w:tc>
      </w:tr>
      <w:tr w:rsidR="001E4786" w:rsidRPr="004B4CA1" w:rsidTr="001E4786">
        <w:trPr>
          <w:cantSplit/>
          <w:trHeight w:hRule="exact" w:val="284"/>
          <w:tblCellSpacing w:w="20" w:type="dxa"/>
          <w:jc w:val="center"/>
        </w:trPr>
        <w:tc>
          <w:tcPr>
            <w:tcW w:w="2290" w:type="pct"/>
            <w:vAlign w:val="center"/>
          </w:tcPr>
          <w:p w:rsidR="001E4786" w:rsidRPr="004B4CA1" w:rsidRDefault="001E4786" w:rsidP="008B1AF7">
            <w:pPr>
              <w:rPr>
                <w:rFonts w:cs="Arial"/>
                <w:sz w:val="18"/>
                <w:szCs w:val="18"/>
              </w:rPr>
            </w:pPr>
            <w:r>
              <w:rPr>
                <w:sz w:val="18"/>
              </w:rPr>
              <w:t>Acid-test ratio</w:t>
            </w:r>
          </w:p>
        </w:tc>
        <w:tc>
          <w:tcPr>
            <w:tcW w:w="935" w:type="pct"/>
            <w:vAlign w:val="center"/>
          </w:tcPr>
          <w:p w:rsidR="001E4786" w:rsidRPr="00DA63C7" w:rsidRDefault="001E4786" w:rsidP="00D35E87">
            <w:pPr>
              <w:ind w:right="17"/>
              <w:jc w:val="right"/>
              <w:rPr>
                <w:rFonts w:cs="Arial"/>
                <w:sz w:val="18"/>
                <w:szCs w:val="18"/>
              </w:rPr>
            </w:pPr>
            <w:r>
              <w:rPr>
                <w:rFonts w:cs="Arial"/>
                <w:sz w:val="18"/>
                <w:szCs w:val="18"/>
              </w:rPr>
              <w:t>1,52</w:t>
            </w:r>
          </w:p>
        </w:tc>
        <w:tc>
          <w:tcPr>
            <w:tcW w:w="987" w:type="pct"/>
            <w:vAlign w:val="center"/>
          </w:tcPr>
          <w:p w:rsidR="001E4786" w:rsidRPr="00DA63C7" w:rsidRDefault="001E4786" w:rsidP="00D35E87">
            <w:pPr>
              <w:ind w:right="17"/>
              <w:jc w:val="right"/>
              <w:rPr>
                <w:rFonts w:cs="Arial"/>
                <w:sz w:val="18"/>
                <w:szCs w:val="18"/>
              </w:rPr>
            </w:pPr>
            <w:r w:rsidRPr="00DA63C7">
              <w:rPr>
                <w:rFonts w:cs="Arial"/>
                <w:sz w:val="18"/>
                <w:szCs w:val="18"/>
              </w:rPr>
              <w:t>1,8</w:t>
            </w:r>
            <w:r>
              <w:rPr>
                <w:rFonts w:cs="Arial"/>
                <w:sz w:val="18"/>
                <w:szCs w:val="18"/>
              </w:rPr>
              <w:t>6</w:t>
            </w:r>
          </w:p>
        </w:tc>
        <w:tc>
          <w:tcPr>
            <w:tcW w:w="682" w:type="pct"/>
            <w:vAlign w:val="center"/>
          </w:tcPr>
          <w:p w:rsidR="001E4786" w:rsidRPr="00817730" w:rsidRDefault="0072741E" w:rsidP="00D35E87">
            <w:pPr>
              <w:jc w:val="right"/>
              <w:rPr>
                <w:rFonts w:cs="Arial"/>
                <w:sz w:val="18"/>
                <w:szCs w:val="18"/>
              </w:rPr>
            </w:pPr>
            <w:r>
              <w:rPr>
                <w:rFonts w:cs="Arial"/>
                <w:sz w:val="18"/>
                <w:szCs w:val="18"/>
              </w:rPr>
              <w:t>-18.</w:t>
            </w:r>
            <w:r w:rsidR="001E4786">
              <w:rPr>
                <w:rFonts w:cs="Arial"/>
                <w:sz w:val="18"/>
                <w:szCs w:val="18"/>
              </w:rPr>
              <w:t>3</w:t>
            </w:r>
          </w:p>
        </w:tc>
      </w:tr>
      <w:tr w:rsidR="001E4786" w:rsidRPr="004B4CA1" w:rsidTr="001E4786">
        <w:trPr>
          <w:cantSplit/>
          <w:trHeight w:hRule="exact" w:val="284"/>
          <w:tblCellSpacing w:w="20" w:type="dxa"/>
          <w:jc w:val="center"/>
        </w:trPr>
        <w:tc>
          <w:tcPr>
            <w:tcW w:w="2290" w:type="pct"/>
            <w:vAlign w:val="center"/>
          </w:tcPr>
          <w:p w:rsidR="001E4786" w:rsidRPr="004B4CA1" w:rsidRDefault="001E4786" w:rsidP="008B1AF7">
            <w:pPr>
              <w:rPr>
                <w:rFonts w:cs="Arial"/>
                <w:sz w:val="18"/>
                <w:szCs w:val="18"/>
              </w:rPr>
            </w:pPr>
            <w:r>
              <w:rPr>
                <w:sz w:val="18"/>
              </w:rPr>
              <w:t>Quick ratio</w:t>
            </w:r>
          </w:p>
        </w:tc>
        <w:tc>
          <w:tcPr>
            <w:tcW w:w="935" w:type="pct"/>
            <w:vAlign w:val="center"/>
          </w:tcPr>
          <w:p w:rsidR="001E4786" w:rsidRPr="00DA63C7" w:rsidRDefault="001E4786" w:rsidP="00D35E87">
            <w:pPr>
              <w:ind w:right="17"/>
              <w:jc w:val="right"/>
              <w:rPr>
                <w:rFonts w:cs="Arial"/>
                <w:sz w:val="18"/>
                <w:szCs w:val="18"/>
              </w:rPr>
            </w:pPr>
            <w:r>
              <w:rPr>
                <w:rFonts w:cs="Arial"/>
                <w:sz w:val="18"/>
                <w:szCs w:val="18"/>
              </w:rPr>
              <w:t>0,66</w:t>
            </w:r>
          </w:p>
        </w:tc>
        <w:tc>
          <w:tcPr>
            <w:tcW w:w="987" w:type="pct"/>
            <w:vAlign w:val="center"/>
          </w:tcPr>
          <w:p w:rsidR="001E4786" w:rsidRPr="00DA63C7" w:rsidRDefault="001E4786" w:rsidP="00D35E87">
            <w:pPr>
              <w:ind w:right="17"/>
              <w:jc w:val="right"/>
              <w:rPr>
                <w:rFonts w:cs="Arial"/>
                <w:sz w:val="18"/>
                <w:szCs w:val="18"/>
              </w:rPr>
            </w:pPr>
            <w:r w:rsidRPr="00DA63C7">
              <w:rPr>
                <w:rFonts w:cs="Arial"/>
                <w:sz w:val="18"/>
                <w:szCs w:val="18"/>
              </w:rPr>
              <w:t>0,</w:t>
            </w:r>
            <w:r>
              <w:rPr>
                <w:rFonts w:cs="Arial"/>
                <w:sz w:val="18"/>
                <w:szCs w:val="18"/>
              </w:rPr>
              <w:t>56</w:t>
            </w:r>
          </w:p>
        </w:tc>
        <w:tc>
          <w:tcPr>
            <w:tcW w:w="682" w:type="pct"/>
            <w:vAlign w:val="center"/>
          </w:tcPr>
          <w:p w:rsidR="001E4786" w:rsidRPr="00817730" w:rsidRDefault="0072741E" w:rsidP="00D35E87">
            <w:pPr>
              <w:jc w:val="right"/>
              <w:rPr>
                <w:rFonts w:cs="Arial"/>
                <w:sz w:val="18"/>
                <w:szCs w:val="18"/>
              </w:rPr>
            </w:pPr>
            <w:r>
              <w:rPr>
                <w:rFonts w:cs="Arial"/>
                <w:sz w:val="18"/>
                <w:szCs w:val="18"/>
              </w:rPr>
              <w:t>17.</w:t>
            </w:r>
            <w:r w:rsidR="001E4786">
              <w:rPr>
                <w:rFonts w:cs="Arial"/>
                <w:sz w:val="18"/>
                <w:szCs w:val="18"/>
              </w:rPr>
              <w:t>9</w:t>
            </w:r>
          </w:p>
        </w:tc>
      </w:tr>
      <w:tr w:rsidR="001E4786" w:rsidRPr="004B4CA1" w:rsidTr="001E4786">
        <w:trPr>
          <w:cantSplit/>
          <w:trHeight w:hRule="exact" w:val="284"/>
          <w:tblCellSpacing w:w="20" w:type="dxa"/>
          <w:jc w:val="center"/>
        </w:trPr>
        <w:tc>
          <w:tcPr>
            <w:tcW w:w="2290" w:type="pct"/>
            <w:vAlign w:val="center"/>
          </w:tcPr>
          <w:p w:rsidR="001E4786" w:rsidRPr="004B4CA1" w:rsidRDefault="001E4786" w:rsidP="008B1AF7">
            <w:pPr>
              <w:rPr>
                <w:rFonts w:cs="Arial"/>
                <w:sz w:val="18"/>
                <w:szCs w:val="18"/>
              </w:rPr>
            </w:pPr>
            <w:r>
              <w:rPr>
                <w:sz w:val="18"/>
              </w:rPr>
              <w:t>Inventory turnover ratio (days)</w:t>
            </w:r>
          </w:p>
        </w:tc>
        <w:tc>
          <w:tcPr>
            <w:tcW w:w="935" w:type="pct"/>
            <w:vAlign w:val="center"/>
          </w:tcPr>
          <w:p w:rsidR="001E4786" w:rsidRPr="00753188" w:rsidRDefault="001E4786" w:rsidP="00D35E87">
            <w:pPr>
              <w:jc w:val="right"/>
              <w:rPr>
                <w:sz w:val="18"/>
                <w:szCs w:val="18"/>
              </w:rPr>
            </w:pPr>
            <w:r>
              <w:rPr>
                <w:sz w:val="18"/>
                <w:szCs w:val="18"/>
              </w:rPr>
              <w:t>270</w:t>
            </w:r>
          </w:p>
        </w:tc>
        <w:tc>
          <w:tcPr>
            <w:tcW w:w="987" w:type="pct"/>
            <w:vAlign w:val="center"/>
          </w:tcPr>
          <w:p w:rsidR="001E4786" w:rsidRPr="00DA63C7" w:rsidRDefault="001E4786" w:rsidP="00D35E87">
            <w:pPr>
              <w:jc w:val="right"/>
              <w:rPr>
                <w:sz w:val="18"/>
                <w:szCs w:val="18"/>
              </w:rPr>
            </w:pPr>
            <w:r>
              <w:rPr>
                <w:sz w:val="18"/>
                <w:szCs w:val="18"/>
              </w:rPr>
              <w:t>242</w:t>
            </w:r>
          </w:p>
        </w:tc>
        <w:tc>
          <w:tcPr>
            <w:tcW w:w="682" w:type="pct"/>
            <w:vAlign w:val="center"/>
          </w:tcPr>
          <w:p w:rsidR="001E4786" w:rsidRPr="00B403CC" w:rsidRDefault="0072741E" w:rsidP="00D35E87">
            <w:pPr>
              <w:jc w:val="right"/>
              <w:rPr>
                <w:rFonts w:cs="Arial"/>
                <w:sz w:val="18"/>
                <w:szCs w:val="18"/>
              </w:rPr>
            </w:pPr>
            <w:r>
              <w:rPr>
                <w:rFonts w:cs="Arial"/>
                <w:sz w:val="18"/>
                <w:szCs w:val="18"/>
              </w:rPr>
              <w:t>11.</w:t>
            </w:r>
            <w:r w:rsidR="001E4786">
              <w:rPr>
                <w:rFonts w:cs="Arial"/>
                <w:sz w:val="18"/>
                <w:szCs w:val="18"/>
              </w:rPr>
              <w:t>6</w:t>
            </w:r>
          </w:p>
        </w:tc>
      </w:tr>
      <w:tr w:rsidR="001E4786" w:rsidRPr="004B4CA1" w:rsidTr="001E4786">
        <w:trPr>
          <w:cantSplit/>
          <w:trHeight w:hRule="exact" w:val="284"/>
          <w:tblCellSpacing w:w="20" w:type="dxa"/>
          <w:jc w:val="center"/>
        </w:trPr>
        <w:tc>
          <w:tcPr>
            <w:tcW w:w="2290" w:type="pct"/>
            <w:vAlign w:val="center"/>
          </w:tcPr>
          <w:p w:rsidR="001E4786" w:rsidRPr="004B4CA1" w:rsidRDefault="001E4786" w:rsidP="008B1AF7">
            <w:pPr>
              <w:rPr>
                <w:rFonts w:cs="Arial"/>
                <w:sz w:val="18"/>
                <w:szCs w:val="18"/>
              </w:rPr>
            </w:pPr>
            <w:r>
              <w:rPr>
                <w:sz w:val="18"/>
              </w:rPr>
              <w:t>Receivables turnover ratio (days)</w:t>
            </w:r>
          </w:p>
        </w:tc>
        <w:tc>
          <w:tcPr>
            <w:tcW w:w="935" w:type="pct"/>
            <w:vAlign w:val="center"/>
          </w:tcPr>
          <w:p w:rsidR="001E4786" w:rsidRPr="00753188" w:rsidRDefault="001E4786" w:rsidP="00D35E87">
            <w:pPr>
              <w:jc w:val="right"/>
              <w:rPr>
                <w:sz w:val="18"/>
                <w:szCs w:val="18"/>
              </w:rPr>
            </w:pPr>
            <w:r>
              <w:rPr>
                <w:sz w:val="18"/>
                <w:szCs w:val="18"/>
              </w:rPr>
              <w:t>19</w:t>
            </w:r>
          </w:p>
        </w:tc>
        <w:tc>
          <w:tcPr>
            <w:tcW w:w="987" w:type="pct"/>
            <w:vAlign w:val="center"/>
          </w:tcPr>
          <w:p w:rsidR="001E4786" w:rsidRPr="00DA63C7" w:rsidRDefault="001E4786" w:rsidP="00D35E87">
            <w:pPr>
              <w:jc w:val="right"/>
              <w:rPr>
                <w:sz w:val="18"/>
                <w:szCs w:val="18"/>
              </w:rPr>
            </w:pPr>
            <w:r w:rsidRPr="00DA63C7">
              <w:rPr>
                <w:sz w:val="18"/>
                <w:szCs w:val="18"/>
              </w:rPr>
              <w:t>2</w:t>
            </w:r>
            <w:r>
              <w:rPr>
                <w:sz w:val="18"/>
                <w:szCs w:val="18"/>
              </w:rPr>
              <w:t>2</w:t>
            </w:r>
          </w:p>
        </w:tc>
        <w:tc>
          <w:tcPr>
            <w:tcW w:w="682" w:type="pct"/>
            <w:vAlign w:val="center"/>
          </w:tcPr>
          <w:p w:rsidR="001E4786" w:rsidRPr="00B403CC" w:rsidRDefault="0072741E" w:rsidP="00D35E87">
            <w:pPr>
              <w:jc w:val="right"/>
              <w:rPr>
                <w:rFonts w:cs="Arial"/>
                <w:sz w:val="18"/>
                <w:szCs w:val="18"/>
              </w:rPr>
            </w:pPr>
            <w:r>
              <w:rPr>
                <w:rFonts w:cs="Arial"/>
                <w:sz w:val="18"/>
                <w:szCs w:val="18"/>
              </w:rPr>
              <w:t>-13.</w:t>
            </w:r>
            <w:r w:rsidR="001E4786">
              <w:rPr>
                <w:rFonts w:cs="Arial"/>
                <w:sz w:val="18"/>
                <w:szCs w:val="18"/>
              </w:rPr>
              <w:t>6</w:t>
            </w:r>
          </w:p>
        </w:tc>
      </w:tr>
      <w:tr w:rsidR="001E4786" w:rsidRPr="004B4CA1" w:rsidTr="001E4786">
        <w:trPr>
          <w:cantSplit/>
          <w:trHeight w:hRule="exact" w:val="284"/>
          <w:tblCellSpacing w:w="20" w:type="dxa"/>
          <w:jc w:val="center"/>
        </w:trPr>
        <w:tc>
          <w:tcPr>
            <w:tcW w:w="2290" w:type="pct"/>
            <w:vAlign w:val="center"/>
          </w:tcPr>
          <w:p w:rsidR="001E4786" w:rsidRPr="004B4CA1" w:rsidRDefault="001E4786" w:rsidP="008B1AF7">
            <w:pPr>
              <w:rPr>
                <w:rFonts w:cs="Arial"/>
                <w:sz w:val="18"/>
                <w:szCs w:val="18"/>
              </w:rPr>
            </w:pPr>
            <w:r>
              <w:rPr>
                <w:sz w:val="18"/>
              </w:rPr>
              <w:t>Trade liabilities turnover ratio (days)</w:t>
            </w:r>
          </w:p>
        </w:tc>
        <w:tc>
          <w:tcPr>
            <w:tcW w:w="935" w:type="pct"/>
            <w:vAlign w:val="center"/>
          </w:tcPr>
          <w:p w:rsidR="001E4786" w:rsidRPr="00DA63C7" w:rsidRDefault="001E4786" w:rsidP="00D35E87">
            <w:pPr>
              <w:jc w:val="right"/>
              <w:rPr>
                <w:sz w:val="18"/>
                <w:szCs w:val="18"/>
              </w:rPr>
            </w:pPr>
            <w:r>
              <w:rPr>
                <w:sz w:val="18"/>
                <w:szCs w:val="18"/>
              </w:rPr>
              <w:t>40</w:t>
            </w:r>
          </w:p>
        </w:tc>
        <w:tc>
          <w:tcPr>
            <w:tcW w:w="987" w:type="pct"/>
            <w:vAlign w:val="center"/>
          </w:tcPr>
          <w:p w:rsidR="001E4786" w:rsidRPr="00DA63C7" w:rsidRDefault="001E4786" w:rsidP="00D35E87">
            <w:pPr>
              <w:jc w:val="right"/>
              <w:rPr>
                <w:sz w:val="18"/>
                <w:szCs w:val="18"/>
              </w:rPr>
            </w:pPr>
            <w:r w:rsidRPr="00DA63C7">
              <w:rPr>
                <w:sz w:val="18"/>
                <w:szCs w:val="18"/>
              </w:rPr>
              <w:t>3</w:t>
            </w:r>
            <w:r>
              <w:rPr>
                <w:sz w:val="18"/>
                <w:szCs w:val="18"/>
              </w:rPr>
              <w:t>3</w:t>
            </w:r>
          </w:p>
        </w:tc>
        <w:tc>
          <w:tcPr>
            <w:tcW w:w="682" w:type="pct"/>
            <w:vAlign w:val="center"/>
          </w:tcPr>
          <w:p w:rsidR="001E4786" w:rsidRPr="00B403CC" w:rsidRDefault="0072741E" w:rsidP="00D35E87">
            <w:pPr>
              <w:jc w:val="right"/>
              <w:rPr>
                <w:rFonts w:cs="Arial"/>
                <w:sz w:val="18"/>
                <w:szCs w:val="18"/>
              </w:rPr>
            </w:pPr>
            <w:r>
              <w:rPr>
                <w:rFonts w:cs="Arial"/>
                <w:sz w:val="18"/>
                <w:szCs w:val="18"/>
              </w:rPr>
              <w:t>21.</w:t>
            </w:r>
            <w:r w:rsidR="001E4786">
              <w:rPr>
                <w:rFonts w:cs="Arial"/>
                <w:sz w:val="18"/>
                <w:szCs w:val="18"/>
              </w:rPr>
              <w:t>2</w:t>
            </w:r>
          </w:p>
        </w:tc>
      </w:tr>
      <w:bookmarkEnd w:id="12"/>
    </w:tbl>
    <w:p w:rsidR="00922A39" w:rsidRPr="004B4CA1" w:rsidRDefault="00922A39" w:rsidP="00922A39"/>
    <w:p w:rsidR="00D26564" w:rsidRPr="004B4CA1" w:rsidRDefault="00D26564" w:rsidP="00D26564">
      <w:pPr>
        <w:jc w:val="both"/>
        <w:rPr>
          <w:rFonts w:cs="Arial"/>
          <w:sz w:val="18"/>
          <w:szCs w:val="20"/>
        </w:rPr>
      </w:pPr>
      <w:r>
        <w:rPr>
          <w:sz w:val="18"/>
        </w:rPr>
        <w:t>Definitions:</w:t>
      </w:r>
    </w:p>
    <w:p w:rsidR="00D26564" w:rsidRPr="004B4CA1" w:rsidRDefault="00D26564" w:rsidP="00D26564">
      <w:pPr>
        <w:numPr>
          <w:ilvl w:val="0"/>
          <w:numId w:val="10"/>
        </w:numPr>
        <w:jc w:val="both"/>
        <w:rPr>
          <w:rFonts w:cs="Arial"/>
          <w:sz w:val="18"/>
          <w:szCs w:val="20"/>
        </w:rPr>
      </w:pPr>
      <w:bookmarkStart w:id="13" w:name="OLE_LINK5"/>
      <w:r>
        <w:rPr>
          <w:b/>
          <w:sz w:val="18"/>
        </w:rPr>
        <w:t>Acid-test ratio</w:t>
      </w:r>
      <w:r>
        <w:rPr>
          <w:sz w:val="18"/>
        </w:rPr>
        <w:t xml:space="preserve"> - The ratio of total current assets to </w:t>
      </w:r>
      <w:r w:rsidR="0072741E">
        <w:rPr>
          <w:sz w:val="18"/>
        </w:rPr>
        <w:t>current</w:t>
      </w:r>
      <w:r>
        <w:rPr>
          <w:sz w:val="18"/>
        </w:rPr>
        <w:t xml:space="preserve"> liabilities and </w:t>
      </w:r>
      <w:r w:rsidR="0072741E">
        <w:rPr>
          <w:sz w:val="18"/>
        </w:rPr>
        <w:t xml:space="preserve">current </w:t>
      </w:r>
      <w:r>
        <w:rPr>
          <w:sz w:val="18"/>
        </w:rPr>
        <w:t>provisions,</w:t>
      </w:r>
    </w:p>
    <w:p w:rsidR="00D26564" w:rsidRPr="004B4CA1" w:rsidRDefault="00D26564" w:rsidP="00D26564">
      <w:pPr>
        <w:numPr>
          <w:ilvl w:val="0"/>
          <w:numId w:val="10"/>
        </w:numPr>
        <w:jc w:val="both"/>
        <w:rPr>
          <w:rFonts w:cs="Arial"/>
          <w:sz w:val="18"/>
          <w:szCs w:val="20"/>
        </w:rPr>
      </w:pPr>
      <w:r>
        <w:rPr>
          <w:b/>
          <w:sz w:val="18"/>
        </w:rPr>
        <w:t>Quick ratio</w:t>
      </w:r>
      <w:r>
        <w:rPr>
          <w:sz w:val="18"/>
        </w:rPr>
        <w:t xml:space="preserve"> - The ratio of total current assets reduced by inventory to </w:t>
      </w:r>
      <w:r w:rsidR="0072741E">
        <w:rPr>
          <w:sz w:val="18"/>
        </w:rPr>
        <w:t xml:space="preserve">current </w:t>
      </w:r>
      <w:r>
        <w:rPr>
          <w:sz w:val="18"/>
        </w:rPr>
        <w:t xml:space="preserve">liabilities and </w:t>
      </w:r>
      <w:r w:rsidR="0072741E">
        <w:rPr>
          <w:sz w:val="18"/>
        </w:rPr>
        <w:t xml:space="preserve">current </w:t>
      </w:r>
      <w:r>
        <w:rPr>
          <w:sz w:val="18"/>
        </w:rPr>
        <w:t>provisions,</w:t>
      </w:r>
    </w:p>
    <w:p w:rsidR="00D26564" w:rsidRPr="004B4CA1" w:rsidRDefault="00D26564" w:rsidP="00D26564">
      <w:pPr>
        <w:numPr>
          <w:ilvl w:val="0"/>
          <w:numId w:val="10"/>
        </w:numPr>
        <w:jc w:val="both"/>
        <w:rPr>
          <w:rFonts w:cs="Arial"/>
          <w:sz w:val="18"/>
          <w:szCs w:val="20"/>
        </w:rPr>
      </w:pPr>
      <w:r>
        <w:rPr>
          <w:b/>
          <w:sz w:val="18"/>
        </w:rPr>
        <w:t>Inventory turnover ratio</w:t>
      </w:r>
      <w:r>
        <w:rPr>
          <w:sz w:val="18"/>
        </w:rPr>
        <w:t xml:space="preserve"> - The ratio of average amount of inventory to cost of goods sold multiplied by the number of days in the period,</w:t>
      </w:r>
    </w:p>
    <w:p w:rsidR="00D26564" w:rsidRPr="004B4CA1" w:rsidRDefault="00D26564" w:rsidP="00D26564">
      <w:pPr>
        <w:numPr>
          <w:ilvl w:val="0"/>
          <w:numId w:val="10"/>
        </w:numPr>
        <w:jc w:val="both"/>
        <w:rPr>
          <w:rFonts w:cs="Arial"/>
          <w:sz w:val="18"/>
          <w:szCs w:val="20"/>
        </w:rPr>
      </w:pPr>
      <w:r>
        <w:rPr>
          <w:b/>
          <w:sz w:val="18"/>
        </w:rPr>
        <w:t>Receivables turnover ratio</w:t>
      </w:r>
      <w:r>
        <w:rPr>
          <w:sz w:val="18"/>
        </w:rPr>
        <w:t xml:space="preserve"> - The ratio of average amount of trade receivables and other receivables to </w:t>
      </w:r>
      <w:r w:rsidR="0072741E">
        <w:rPr>
          <w:sz w:val="18"/>
        </w:rPr>
        <w:t xml:space="preserve">sales revenues </w:t>
      </w:r>
      <w:r>
        <w:rPr>
          <w:sz w:val="18"/>
        </w:rPr>
        <w:t>multiplied by the number of days in the period,</w:t>
      </w:r>
    </w:p>
    <w:p w:rsidR="00007AEF" w:rsidRPr="004B4CA1" w:rsidRDefault="00D26564" w:rsidP="00D26564">
      <w:pPr>
        <w:numPr>
          <w:ilvl w:val="0"/>
          <w:numId w:val="10"/>
        </w:numPr>
        <w:jc w:val="both"/>
        <w:rPr>
          <w:rFonts w:cs="Arial"/>
          <w:sz w:val="18"/>
          <w:szCs w:val="20"/>
        </w:rPr>
      </w:pPr>
      <w:r>
        <w:rPr>
          <w:b/>
          <w:sz w:val="18"/>
        </w:rPr>
        <w:t>Trade liabilities turnover ratio</w:t>
      </w:r>
      <w:r>
        <w:rPr>
          <w:sz w:val="18"/>
        </w:rPr>
        <w:t xml:space="preserve"> - The ratio of average amount of trade liabilities to cost of goods and services sold multiplied by the number of days in the period.</w:t>
      </w:r>
    </w:p>
    <w:bookmarkEnd w:id="13"/>
    <w:p w:rsidR="00D26564" w:rsidRPr="004B4CA1" w:rsidRDefault="00D26564" w:rsidP="00922A39"/>
    <w:p w:rsidR="00D26564" w:rsidRPr="004B4CA1" w:rsidRDefault="00D26564" w:rsidP="00D26564">
      <w:pPr>
        <w:pStyle w:val="Legenda"/>
      </w:pPr>
      <w:r>
        <w:t xml:space="preserve">Table </w:t>
      </w:r>
      <w:r w:rsidR="000418D6" w:rsidRPr="004B4CA1">
        <w:fldChar w:fldCharType="begin"/>
      </w:r>
      <w:r w:rsidR="0086492B" w:rsidRPr="004B4CA1">
        <w:instrText xml:space="preserve"> SEQ Tabela \* ARABIC </w:instrText>
      </w:r>
      <w:r w:rsidR="000418D6" w:rsidRPr="004B4CA1">
        <w:fldChar w:fldCharType="separate"/>
      </w:r>
      <w:r w:rsidR="00CB64CA" w:rsidRPr="004B4CA1">
        <w:rPr>
          <w:noProof/>
        </w:rPr>
        <w:t>8</w:t>
      </w:r>
      <w:r w:rsidR="000418D6" w:rsidRPr="004B4CA1">
        <w:rPr>
          <w:noProof/>
        </w:rPr>
        <w:fldChar w:fldCharType="end"/>
      </w:r>
      <w:r>
        <w:t>. Debt and asset funding ratios</w:t>
      </w:r>
    </w:p>
    <w:tbl>
      <w:tblPr>
        <w:tblW w:w="4899" w:type="pct"/>
        <w:jc w:val="center"/>
        <w:tblCellSpacing w:w="20" w:type="dxa"/>
        <w:tblInd w:w="18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417"/>
        <w:gridCol w:w="1748"/>
        <w:gridCol w:w="1903"/>
        <w:gridCol w:w="1344"/>
      </w:tblGrid>
      <w:tr w:rsidR="00D26564" w:rsidRPr="004B4CA1" w:rsidTr="00347C24">
        <w:trPr>
          <w:cantSplit/>
          <w:trHeight w:hRule="exact" w:val="510"/>
          <w:tblCellSpacing w:w="20" w:type="dxa"/>
          <w:jc w:val="center"/>
        </w:trPr>
        <w:tc>
          <w:tcPr>
            <w:tcW w:w="2315" w:type="pct"/>
            <w:tcBorders>
              <w:bottom w:val="outset" w:sz="6" w:space="0" w:color="auto"/>
            </w:tcBorders>
            <w:shd w:val="clear" w:color="auto" w:fill="D9D9D9" w:themeFill="background1" w:themeFillShade="D9"/>
            <w:vAlign w:val="center"/>
          </w:tcPr>
          <w:p w:rsidR="00D26564" w:rsidRPr="004B4CA1" w:rsidRDefault="00347C24" w:rsidP="003A675F">
            <w:pPr>
              <w:jc w:val="center"/>
              <w:rPr>
                <w:rFonts w:cs="Arial"/>
                <w:b/>
                <w:bCs/>
                <w:sz w:val="18"/>
                <w:szCs w:val="18"/>
              </w:rPr>
            </w:pPr>
            <w:r>
              <w:rPr>
                <w:b/>
                <w:sz w:val="18"/>
              </w:rPr>
              <w:t>Value</w:t>
            </w:r>
          </w:p>
        </w:tc>
        <w:tc>
          <w:tcPr>
            <w:tcW w:w="907" w:type="pct"/>
            <w:shd w:val="clear" w:color="auto" w:fill="D9D9D9" w:themeFill="background1" w:themeFillShade="D9"/>
            <w:vAlign w:val="center"/>
          </w:tcPr>
          <w:p w:rsidR="004B4CA1" w:rsidRDefault="00D26564" w:rsidP="004B4CA1">
            <w:pPr>
              <w:keepNext/>
              <w:keepLines/>
              <w:autoSpaceDE w:val="0"/>
              <w:autoSpaceDN w:val="0"/>
              <w:adjustRightInd w:val="0"/>
              <w:jc w:val="center"/>
              <w:rPr>
                <w:rFonts w:cs="Arial"/>
                <w:b/>
                <w:bCs/>
                <w:sz w:val="18"/>
                <w:szCs w:val="20"/>
              </w:rPr>
            </w:pPr>
            <w:r>
              <w:rPr>
                <w:b/>
                <w:sz w:val="18"/>
              </w:rPr>
              <w:t xml:space="preserve">1H </w:t>
            </w:r>
            <w:r w:rsidR="006426A9">
              <w:rPr>
                <w:b/>
                <w:sz w:val="18"/>
              </w:rPr>
              <w:t>2014</w:t>
            </w:r>
          </w:p>
          <w:p w:rsidR="00D26564" w:rsidRPr="004B4CA1" w:rsidRDefault="00D26564" w:rsidP="004B4CA1">
            <w:pPr>
              <w:keepNext/>
              <w:keepLines/>
              <w:autoSpaceDE w:val="0"/>
              <w:autoSpaceDN w:val="0"/>
              <w:adjustRightInd w:val="0"/>
              <w:jc w:val="center"/>
              <w:rPr>
                <w:rFonts w:cs="Arial"/>
                <w:b/>
                <w:bCs/>
                <w:sz w:val="18"/>
                <w:szCs w:val="20"/>
              </w:rPr>
            </w:pPr>
            <w:r>
              <w:rPr>
                <w:b/>
                <w:sz w:val="18"/>
              </w:rPr>
              <w:t>(%)</w:t>
            </w:r>
          </w:p>
        </w:tc>
        <w:tc>
          <w:tcPr>
            <w:tcW w:w="990" w:type="pct"/>
            <w:shd w:val="clear" w:color="auto" w:fill="D9D9D9" w:themeFill="background1" w:themeFillShade="D9"/>
            <w:vAlign w:val="center"/>
          </w:tcPr>
          <w:p w:rsidR="004B4CA1" w:rsidRDefault="00D26564" w:rsidP="004B4CA1">
            <w:pPr>
              <w:keepNext/>
              <w:keepLines/>
              <w:autoSpaceDE w:val="0"/>
              <w:autoSpaceDN w:val="0"/>
              <w:adjustRightInd w:val="0"/>
              <w:jc w:val="center"/>
              <w:rPr>
                <w:rFonts w:cs="Arial"/>
                <w:b/>
                <w:bCs/>
                <w:sz w:val="18"/>
                <w:szCs w:val="20"/>
              </w:rPr>
            </w:pPr>
            <w:r>
              <w:rPr>
                <w:b/>
                <w:sz w:val="18"/>
              </w:rPr>
              <w:t xml:space="preserve">1H </w:t>
            </w:r>
            <w:r w:rsidR="00B26839">
              <w:rPr>
                <w:b/>
                <w:sz w:val="18"/>
              </w:rPr>
              <w:t>2013</w:t>
            </w:r>
          </w:p>
          <w:p w:rsidR="00D26564" w:rsidRPr="004B4CA1" w:rsidRDefault="00D26564" w:rsidP="004B4CA1">
            <w:pPr>
              <w:keepNext/>
              <w:keepLines/>
              <w:autoSpaceDE w:val="0"/>
              <w:autoSpaceDN w:val="0"/>
              <w:adjustRightInd w:val="0"/>
              <w:jc w:val="center"/>
              <w:rPr>
                <w:rFonts w:cs="Arial"/>
                <w:b/>
                <w:bCs/>
                <w:sz w:val="18"/>
                <w:szCs w:val="20"/>
              </w:rPr>
            </w:pPr>
            <w:r>
              <w:rPr>
                <w:b/>
                <w:sz w:val="18"/>
              </w:rPr>
              <w:t>(%)</w:t>
            </w:r>
          </w:p>
        </w:tc>
        <w:tc>
          <w:tcPr>
            <w:tcW w:w="682" w:type="pct"/>
            <w:shd w:val="clear" w:color="auto" w:fill="D9D9D9" w:themeFill="background1" w:themeFillShade="D9"/>
            <w:vAlign w:val="center"/>
          </w:tcPr>
          <w:p w:rsidR="00D26564" w:rsidRPr="004B4CA1" w:rsidRDefault="002F70EA" w:rsidP="003A675F">
            <w:pPr>
              <w:jc w:val="center"/>
              <w:rPr>
                <w:rFonts w:cs="Arial"/>
                <w:b/>
                <w:bCs/>
                <w:sz w:val="18"/>
                <w:szCs w:val="18"/>
              </w:rPr>
            </w:pPr>
            <w:r>
              <w:rPr>
                <w:b/>
                <w:sz w:val="18"/>
              </w:rPr>
              <w:t>%</w:t>
            </w:r>
            <w:r w:rsidR="00D26564">
              <w:rPr>
                <w:b/>
                <w:sz w:val="18"/>
              </w:rPr>
              <w:t xml:space="preserve"> change</w:t>
            </w:r>
          </w:p>
        </w:tc>
      </w:tr>
      <w:tr w:rsidR="00347C24" w:rsidRPr="004B4CA1" w:rsidTr="00347C24">
        <w:trPr>
          <w:cantSplit/>
          <w:trHeight w:hRule="exact" w:val="425"/>
          <w:tblCellSpacing w:w="20" w:type="dxa"/>
          <w:jc w:val="center"/>
        </w:trPr>
        <w:tc>
          <w:tcPr>
            <w:tcW w:w="2315" w:type="pct"/>
            <w:vAlign w:val="center"/>
          </w:tcPr>
          <w:p w:rsidR="00347C24" w:rsidRPr="004B4CA1" w:rsidRDefault="00347C24" w:rsidP="008B1AF7">
            <w:pPr>
              <w:rPr>
                <w:rFonts w:cs="Arial"/>
                <w:sz w:val="18"/>
                <w:szCs w:val="18"/>
              </w:rPr>
            </w:pPr>
            <w:r>
              <w:rPr>
                <w:sz w:val="18"/>
              </w:rPr>
              <w:t>The share of equity capital in funding current assets (%)</w:t>
            </w:r>
          </w:p>
        </w:tc>
        <w:tc>
          <w:tcPr>
            <w:tcW w:w="907" w:type="pct"/>
            <w:vAlign w:val="center"/>
          </w:tcPr>
          <w:p w:rsidR="00347C24" w:rsidRDefault="002F70EA" w:rsidP="00D35E87">
            <w:pPr>
              <w:jc w:val="right"/>
              <w:rPr>
                <w:rFonts w:cs="Arial"/>
                <w:sz w:val="18"/>
                <w:szCs w:val="18"/>
              </w:rPr>
            </w:pPr>
            <w:r>
              <w:rPr>
                <w:rFonts w:cs="Arial"/>
                <w:sz w:val="18"/>
                <w:szCs w:val="18"/>
              </w:rPr>
              <w:t>49.</w:t>
            </w:r>
            <w:r w:rsidR="00347C24">
              <w:rPr>
                <w:rFonts w:cs="Arial"/>
                <w:sz w:val="18"/>
                <w:szCs w:val="18"/>
              </w:rPr>
              <w:t>98</w:t>
            </w:r>
          </w:p>
        </w:tc>
        <w:tc>
          <w:tcPr>
            <w:tcW w:w="990" w:type="pct"/>
            <w:vAlign w:val="center"/>
          </w:tcPr>
          <w:p w:rsidR="00347C24" w:rsidRDefault="002F70EA" w:rsidP="00D35E87">
            <w:pPr>
              <w:jc w:val="right"/>
              <w:rPr>
                <w:rFonts w:cs="Arial"/>
                <w:sz w:val="18"/>
                <w:szCs w:val="18"/>
              </w:rPr>
            </w:pPr>
            <w:r>
              <w:rPr>
                <w:rFonts w:cs="Arial"/>
                <w:sz w:val="18"/>
                <w:szCs w:val="18"/>
              </w:rPr>
              <w:t>80.</w:t>
            </w:r>
            <w:r w:rsidR="00347C24">
              <w:rPr>
                <w:rFonts w:cs="Arial"/>
                <w:sz w:val="18"/>
                <w:szCs w:val="18"/>
              </w:rPr>
              <w:t>53</w:t>
            </w:r>
          </w:p>
        </w:tc>
        <w:tc>
          <w:tcPr>
            <w:tcW w:w="682" w:type="pct"/>
            <w:vAlign w:val="center"/>
          </w:tcPr>
          <w:p w:rsidR="00347C24" w:rsidRDefault="002F70EA" w:rsidP="00D35E87">
            <w:pPr>
              <w:jc w:val="right"/>
              <w:rPr>
                <w:rFonts w:cs="Arial"/>
                <w:sz w:val="18"/>
                <w:szCs w:val="18"/>
              </w:rPr>
            </w:pPr>
            <w:r>
              <w:rPr>
                <w:rFonts w:cs="Arial"/>
                <w:sz w:val="18"/>
                <w:szCs w:val="18"/>
              </w:rPr>
              <w:t>-37.</w:t>
            </w:r>
            <w:r w:rsidR="00347C24">
              <w:rPr>
                <w:rFonts w:cs="Arial"/>
                <w:sz w:val="18"/>
                <w:szCs w:val="18"/>
              </w:rPr>
              <w:t>9</w:t>
            </w:r>
          </w:p>
        </w:tc>
      </w:tr>
      <w:tr w:rsidR="00347C24" w:rsidRPr="004B4CA1" w:rsidTr="00347C24">
        <w:trPr>
          <w:cantSplit/>
          <w:trHeight w:hRule="exact" w:val="425"/>
          <w:tblCellSpacing w:w="20" w:type="dxa"/>
          <w:jc w:val="center"/>
        </w:trPr>
        <w:tc>
          <w:tcPr>
            <w:tcW w:w="2315" w:type="pct"/>
            <w:vAlign w:val="center"/>
          </w:tcPr>
          <w:p w:rsidR="00347C24" w:rsidRPr="004B4CA1" w:rsidRDefault="00347C24" w:rsidP="008B1AF7">
            <w:pPr>
              <w:rPr>
                <w:rFonts w:cs="Arial"/>
                <w:sz w:val="18"/>
                <w:szCs w:val="18"/>
              </w:rPr>
            </w:pPr>
            <w:r>
              <w:rPr>
                <w:sz w:val="18"/>
              </w:rPr>
              <w:t xml:space="preserve">Coverage rate of fixed assets by equity capital </w:t>
            </w:r>
          </w:p>
        </w:tc>
        <w:tc>
          <w:tcPr>
            <w:tcW w:w="907" w:type="pct"/>
            <w:vAlign w:val="center"/>
          </w:tcPr>
          <w:p w:rsidR="00347C24" w:rsidRDefault="002F70EA" w:rsidP="00D35E87">
            <w:pPr>
              <w:jc w:val="right"/>
              <w:rPr>
                <w:rFonts w:cs="Arial"/>
                <w:sz w:val="18"/>
                <w:szCs w:val="18"/>
              </w:rPr>
            </w:pPr>
            <w:r>
              <w:rPr>
                <w:rFonts w:cs="Arial"/>
                <w:sz w:val="18"/>
                <w:szCs w:val="18"/>
              </w:rPr>
              <w:t>129.</w:t>
            </w:r>
            <w:r w:rsidR="00347C24">
              <w:rPr>
                <w:rFonts w:cs="Arial"/>
                <w:sz w:val="18"/>
                <w:szCs w:val="18"/>
              </w:rPr>
              <w:t>05</w:t>
            </w:r>
          </w:p>
        </w:tc>
        <w:tc>
          <w:tcPr>
            <w:tcW w:w="990" w:type="pct"/>
            <w:vAlign w:val="center"/>
          </w:tcPr>
          <w:p w:rsidR="00347C24" w:rsidRDefault="002F70EA" w:rsidP="00D35E87">
            <w:pPr>
              <w:jc w:val="right"/>
              <w:rPr>
                <w:rFonts w:cs="Arial"/>
                <w:sz w:val="18"/>
                <w:szCs w:val="18"/>
              </w:rPr>
            </w:pPr>
            <w:r>
              <w:rPr>
                <w:rFonts w:cs="Arial"/>
                <w:sz w:val="18"/>
                <w:szCs w:val="18"/>
              </w:rPr>
              <w:t>128.</w:t>
            </w:r>
            <w:r w:rsidR="00347C24">
              <w:rPr>
                <w:rFonts w:cs="Arial"/>
                <w:sz w:val="18"/>
                <w:szCs w:val="18"/>
              </w:rPr>
              <w:t>45</w:t>
            </w:r>
          </w:p>
        </w:tc>
        <w:tc>
          <w:tcPr>
            <w:tcW w:w="682" w:type="pct"/>
            <w:vAlign w:val="center"/>
          </w:tcPr>
          <w:p w:rsidR="00347C24" w:rsidRDefault="002F70EA" w:rsidP="00D35E87">
            <w:pPr>
              <w:jc w:val="right"/>
              <w:rPr>
                <w:rFonts w:cs="Arial"/>
                <w:sz w:val="18"/>
                <w:szCs w:val="18"/>
              </w:rPr>
            </w:pPr>
            <w:r>
              <w:rPr>
                <w:rFonts w:cs="Arial"/>
                <w:sz w:val="18"/>
                <w:szCs w:val="18"/>
              </w:rPr>
              <w:t>0.</w:t>
            </w:r>
            <w:r w:rsidR="00347C24">
              <w:rPr>
                <w:rFonts w:cs="Arial"/>
                <w:sz w:val="18"/>
                <w:szCs w:val="18"/>
              </w:rPr>
              <w:t>5</w:t>
            </w:r>
          </w:p>
        </w:tc>
      </w:tr>
      <w:tr w:rsidR="00347C24" w:rsidRPr="004B4CA1" w:rsidTr="00347C24">
        <w:trPr>
          <w:cantSplit/>
          <w:trHeight w:hRule="exact" w:val="284"/>
          <w:tblCellSpacing w:w="20" w:type="dxa"/>
          <w:jc w:val="center"/>
        </w:trPr>
        <w:tc>
          <w:tcPr>
            <w:tcW w:w="2315" w:type="pct"/>
            <w:vAlign w:val="center"/>
          </w:tcPr>
          <w:p w:rsidR="00347C24" w:rsidRPr="004B4CA1" w:rsidRDefault="00347C24" w:rsidP="008B1AF7">
            <w:pPr>
              <w:rPr>
                <w:rFonts w:cs="Arial"/>
                <w:sz w:val="18"/>
                <w:szCs w:val="18"/>
              </w:rPr>
            </w:pPr>
            <w:r>
              <w:rPr>
                <w:sz w:val="18"/>
              </w:rPr>
              <w:t>Total indebtedness ratio</w:t>
            </w:r>
          </w:p>
        </w:tc>
        <w:tc>
          <w:tcPr>
            <w:tcW w:w="907" w:type="pct"/>
            <w:vAlign w:val="center"/>
          </w:tcPr>
          <w:p w:rsidR="00347C24" w:rsidRDefault="002F70EA" w:rsidP="00D35E87">
            <w:pPr>
              <w:jc w:val="right"/>
              <w:rPr>
                <w:rFonts w:cs="Arial"/>
                <w:sz w:val="18"/>
                <w:szCs w:val="18"/>
              </w:rPr>
            </w:pPr>
            <w:r>
              <w:rPr>
                <w:rFonts w:cs="Arial"/>
                <w:sz w:val="18"/>
                <w:szCs w:val="18"/>
              </w:rPr>
              <w:t>63.</w:t>
            </w:r>
            <w:r w:rsidR="00347C24">
              <w:rPr>
                <w:rFonts w:cs="Arial"/>
                <w:sz w:val="18"/>
                <w:szCs w:val="18"/>
              </w:rPr>
              <w:t>97</w:t>
            </w:r>
          </w:p>
        </w:tc>
        <w:tc>
          <w:tcPr>
            <w:tcW w:w="990" w:type="pct"/>
            <w:vAlign w:val="center"/>
          </w:tcPr>
          <w:p w:rsidR="00347C24" w:rsidRDefault="002F70EA" w:rsidP="00D35E87">
            <w:pPr>
              <w:jc w:val="right"/>
              <w:rPr>
                <w:rFonts w:cs="Arial"/>
                <w:sz w:val="18"/>
                <w:szCs w:val="18"/>
              </w:rPr>
            </w:pPr>
            <w:r>
              <w:rPr>
                <w:rFonts w:cs="Arial"/>
                <w:sz w:val="18"/>
                <w:szCs w:val="18"/>
              </w:rPr>
              <w:t>50.</w:t>
            </w:r>
            <w:r w:rsidR="00347C24">
              <w:rPr>
                <w:rFonts w:cs="Arial"/>
                <w:sz w:val="18"/>
                <w:szCs w:val="18"/>
              </w:rPr>
              <w:t>50</w:t>
            </w:r>
          </w:p>
        </w:tc>
        <w:tc>
          <w:tcPr>
            <w:tcW w:w="682" w:type="pct"/>
            <w:vAlign w:val="center"/>
          </w:tcPr>
          <w:p w:rsidR="00347C24" w:rsidRDefault="002F70EA" w:rsidP="00D35E87">
            <w:pPr>
              <w:jc w:val="right"/>
              <w:rPr>
                <w:rFonts w:cs="Arial"/>
                <w:sz w:val="18"/>
                <w:szCs w:val="18"/>
              </w:rPr>
            </w:pPr>
            <w:r>
              <w:rPr>
                <w:rFonts w:cs="Arial"/>
                <w:sz w:val="18"/>
                <w:szCs w:val="18"/>
              </w:rPr>
              <w:t>26.</w:t>
            </w:r>
            <w:r w:rsidR="00347C24">
              <w:rPr>
                <w:rFonts w:cs="Arial"/>
                <w:sz w:val="18"/>
                <w:szCs w:val="18"/>
              </w:rPr>
              <w:t>7</w:t>
            </w:r>
          </w:p>
        </w:tc>
      </w:tr>
      <w:tr w:rsidR="00347C24" w:rsidRPr="004B4CA1" w:rsidTr="00347C24">
        <w:trPr>
          <w:cantSplit/>
          <w:trHeight w:hRule="exact" w:val="284"/>
          <w:tblCellSpacing w:w="20" w:type="dxa"/>
          <w:jc w:val="center"/>
        </w:trPr>
        <w:tc>
          <w:tcPr>
            <w:tcW w:w="2315" w:type="pct"/>
            <w:vAlign w:val="center"/>
          </w:tcPr>
          <w:p w:rsidR="00347C24" w:rsidRPr="004B4CA1" w:rsidRDefault="00347C24" w:rsidP="008B1AF7">
            <w:pPr>
              <w:rPr>
                <w:rFonts w:cs="Arial"/>
                <w:sz w:val="18"/>
                <w:szCs w:val="18"/>
              </w:rPr>
            </w:pPr>
            <w:r>
              <w:rPr>
                <w:sz w:val="18"/>
              </w:rPr>
              <w:t>Non-current indebtedness ratio</w:t>
            </w:r>
          </w:p>
        </w:tc>
        <w:tc>
          <w:tcPr>
            <w:tcW w:w="907" w:type="pct"/>
            <w:vAlign w:val="center"/>
          </w:tcPr>
          <w:p w:rsidR="00347C24" w:rsidRDefault="002F70EA" w:rsidP="00D35E87">
            <w:pPr>
              <w:jc w:val="right"/>
              <w:rPr>
                <w:rFonts w:cs="Arial"/>
                <w:sz w:val="18"/>
                <w:szCs w:val="18"/>
              </w:rPr>
            </w:pPr>
            <w:r>
              <w:rPr>
                <w:rFonts w:cs="Arial"/>
                <w:sz w:val="18"/>
                <w:szCs w:val="18"/>
              </w:rPr>
              <w:t>16.</w:t>
            </w:r>
            <w:r w:rsidR="00347C24">
              <w:rPr>
                <w:rFonts w:cs="Arial"/>
                <w:sz w:val="18"/>
                <w:szCs w:val="18"/>
              </w:rPr>
              <w:t>65</w:t>
            </w:r>
          </w:p>
        </w:tc>
        <w:tc>
          <w:tcPr>
            <w:tcW w:w="990" w:type="pct"/>
            <w:vAlign w:val="center"/>
          </w:tcPr>
          <w:p w:rsidR="00347C24" w:rsidRDefault="002F70EA" w:rsidP="00D35E87">
            <w:pPr>
              <w:jc w:val="right"/>
              <w:rPr>
                <w:rFonts w:cs="Arial"/>
                <w:sz w:val="18"/>
                <w:szCs w:val="18"/>
              </w:rPr>
            </w:pPr>
            <w:r>
              <w:rPr>
                <w:rFonts w:cs="Arial"/>
                <w:sz w:val="18"/>
                <w:szCs w:val="18"/>
              </w:rPr>
              <w:t>17.</w:t>
            </w:r>
            <w:r w:rsidR="00347C24">
              <w:rPr>
                <w:rFonts w:cs="Arial"/>
                <w:sz w:val="18"/>
                <w:szCs w:val="18"/>
              </w:rPr>
              <w:t>48</w:t>
            </w:r>
          </w:p>
        </w:tc>
        <w:tc>
          <w:tcPr>
            <w:tcW w:w="682" w:type="pct"/>
            <w:vAlign w:val="center"/>
          </w:tcPr>
          <w:p w:rsidR="00347C24" w:rsidRDefault="002F70EA" w:rsidP="00D35E87">
            <w:pPr>
              <w:jc w:val="right"/>
              <w:rPr>
                <w:rFonts w:cs="Arial"/>
                <w:sz w:val="18"/>
                <w:szCs w:val="18"/>
              </w:rPr>
            </w:pPr>
            <w:r>
              <w:rPr>
                <w:rFonts w:cs="Arial"/>
                <w:sz w:val="18"/>
                <w:szCs w:val="18"/>
              </w:rPr>
              <w:t>-4.</w:t>
            </w:r>
            <w:r w:rsidR="00347C24">
              <w:rPr>
                <w:rFonts w:cs="Arial"/>
                <w:sz w:val="18"/>
                <w:szCs w:val="18"/>
              </w:rPr>
              <w:t>7</w:t>
            </w:r>
          </w:p>
        </w:tc>
      </w:tr>
      <w:tr w:rsidR="00347C24" w:rsidRPr="004B4CA1" w:rsidTr="00347C24">
        <w:trPr>
          <w:cantSplit/>
          <w:trHeight w:hRule="exact" w:val="284"/>
          <w:tblCellSpacing w:w="20" w:type="dxa"/>
          <w:jc w:val="center"/>
        </w:trPr>
        <w:tc>
          <w:tcPr>
            <w:tcW w:w="2315" w:type="pct"/>
            <w:vAlign w:val="center"/>
          </w:tcPr>
          <w:p w:rsidR="00347C24" w:rsidRPr="004B4CA1" w:rsidRDefault="00347C24" w:rsidP="008B1AF7">
            <w:pPr>
              <w:rPr>
                <w:rFonts w:cs="Arial"/>
                <w:sz w:val="18"/>
                <w:szCs w:val="18"/>
              </w:rPr>
            </w:pPr>
            <w:r>
              <w:rPr>
                <w:sz w:val="18"/>
              </w:rPr>
              <w:t>Current indebtedness ratio</w:t>
            </w:r>
          </w:p>
        </w:tc>
        <w:tc>
          <w:tcPr>
            <w:tcW w:w="907" w:type="pct"/>
            <w:vAlign w:val="center"/>
          </w:tcPr>
          <w:p w:rsidR="00347C24" w:rsidRDefault="002F70EA" w:rsidP="00D35E87">
            <w:pPr>
              <w:jc w:val="right"/>
              <w:rPr>
                <w:rFonts w:cs="Arial"/>
                <w:sz w:val="18"/>
                <w:szCs w:val="18"/>
              </w:rPr>
            </w:pPr>
            <w:r>
              <w:rPr>
                <w:rFonts w:cs="Arial"/>
                <w:sz w:val="18"/>
                <w:szCs w:val="18"/>
              </w:rPr>
              <w:t>47.</w:t>
            </w:r>
            <w:r w:rsidR="00347C24">
              <w:rPr>
                <w:rFonts w:cs="Arial"/>
                <w:sz w:val="18"/>
                <w:szCs w:val="18"/>
              </w:rPr>
              <w:t>33</w:t>
            </w:r>
          </w:p>
        </w:tc>
        <w:tc>
          <w:tcPr>
            <w:tcW w:w="990" w:type="pct"/>
            <w:vAlign w:val="center"/>
          </w:tcPr>
          <w:p w:rsidR="00347C24" w:rsidRDefault="002F70EA" w:rsidP="00D35E87">
            <w:pPr>
              <w:jc w:val="right"/>
              <w:rPr>
                <w:rFonts w:cs="Arial"/>
                <w:sz w:val="18"/>
                <w:szCs w:val="18"/>
              </w:rPr>
            </w:pPr>
            <w:r>
              <w:rPr>
                <w:rFonts w:cs="Arial"/>
                <w:sz w:val="18"/>
                <w:szCs w:val="18"/>
              </w:rPr>
              <w:t>33.</w:t>
            </w:r>
            <w:r w:rsidR="00347C24">
              <w:rPr>
                <w:rFonts w:cs="Arial"/>
                <w:sz w:val="18"/>
                <w:szCs w:val="18"/>
              </w:rPr>
              <w:t>02</w:t>
            </w:r>
          </w:p>
        </w:tc>
        <w:tc>
          <w:tcPr>
            <w:tcW w:w="682" w:type="pct"/>
            <w:vAlign w:val="center"/>
          </w:tcPr>
          <w:p w:rsidR="00347C24" w:rsidRDefault="002F70EA" w:rsidP="00D35E87">
            <w:pPr>
              <w:jc w:val="right"/>
              <w:rPr>
                <w:rFonts w:cs="Arial"/>
                <w:sz w:val="18"/>
                <w:szCs w:val="18"/>
              </w:rPr>
            </w:pPr>
            <w:r>
              <w:rPr>
                <w:rFonts w:cs="Arial"/>
                <w:sz w:val="18"/>
                <w:szCs w:val="18"/>
              </w:rPr>
              <w:t>43.</w:t>
            </w:r>
            <w:r w:rsidR="00347C24">
              <w:rPr>
                <w:rFonts w:cs="Arial"/>
                <w:sz w:val="18"/>
                <w:szCs w:val="18"/>
              </w:rPr>
              <w:t>3</w:t>
            </w:r>
          </w:p>
        </w:tc>
      </w:tr>
      <w:tr w:rsidR="00347C24" w:rsidRPr="004B4CA1" w:rsidTr="00347C24">
        <w:trPr>
          <w:cantSplit/>
          <w:trHeight w:hRule="exact" w:val="284"/>
          <w:tblCellSpacing w:w="20" w:type="dxa"/>
          <w:jc w:val="center"/>
        </w:trPr>
        <w:tc>
          <w:tcPr>
            <w:tcW w:w="2315" w:type="pct"/>
            <w:vAlign w:val="center"/>
          </w:tcPr>
          <w:p w:rsidR="00347C24" w:rsidRPr="004B4CA1" w:rsidRDefault="00347C24" w:rsidP="008B1AF7">
            <w:pPr>
              <w:rPr>
                <w:rFonts w:cs="Arial"/>
                <w:sz w:val="18"/>
                <w:szCs w:val="18"/>
              </w:rPr>
            </w:pPr>
            <w:r>
              <w:rPr>
                <w:sz w:val="18"/>
              </w:rPr>
              <w:t>Liabilities to equity ratio</w:t>
            </w:r>
          </w:p>
        </w:tc>
        <w:tc>
          <w:tcPr>
            <w:tcW w:w="907" w:type="pct"/>
            <w:vAlign w:val="center"/>
          </w:tcPr>
          <w:p w:rsidR="00347C24" w:rsidRDefault="002F70EA" w:rsidP="00D35E87">
            <w:pPr>
              <w:jc w:val="right"/>
              <w:rPr>
                <w:rFonts w:cs="Arial"/>
                <w:sz w:val="18"/>
                <w:szCs w:val="18"/>
              </w:rPr>
            </w:pPr>
            <w:r>
              <w:rPr>
                <w:rFonts w:cs="Arial"/>
                <w:sz w:val="18"/>
                <w:szCs w:val="18"/>
              </w:rPr>
              <w:t>177.</w:t>
            </w:r>
            <w:r w:rsidR="00347C24">
              <w:rPr>
                <w:rFonts w:cs="Arial"/>
                <w:sz w:val="18"/>
                <w:szCs w:val="18"/>
              </w:rPr>
              <w:t>58</w:t>
            </w:r>
          </w:p>
        </w:tc>
        <w:tc>
          <w:tcPr>
            <w:tcW w:w="990" w:type="pct"/>
            <w:vAlign w:val="center"/>
          </w:tcPr>
          <w:p w:rsidR="00347C24" w:rsidRDefault="002F70EA" w:rsidP="00D35E87">
            <w:pPr>
              <w:jc w:val="right"/>
              <w:rPr>
                <w:rFonts w:cs="Arial"/>
                <w:sz w:val="18"/>
                <w:szCs w:val="18"/>
              </w:rPr>
            </w:pPr>
            <w:r>
              <w:rPr>
                <w:rFonts w:cs="Arial"/>
                <w:sz w:val="18"/>
                <w:szCs w:val="18"/>
              </w:rPr>
              <w:t>102.</w:t>
            </w:r>
            <w:r w:rsidR="00347C24">
              <w:rPr>
                <w:rFonts w:cs="Arial"/>
                <w:sz w:val="18"/>
                <w:szCs w:val="18"/>
              </w:rPr>
              <w:t>03</w:t>
            </w:r>
          </w:p>
        </w:tc>
        <w:tc>
          <w:tcPr>
            <w:tcW w:w="682" w:type="pct"/>
            <w:vAlign w:val="center"/>
          </w:tcPr>
          <w:p w:rsidR="00347C24" w:rsidRDefault="002F70EA" w:rsidP="00D35E87">
            <w:pPr>
              <w:jc w:val="right"/>
              <w:rPr>
                <w:rFonts w:cs="Arial"/>
                <w:sz w:val="18"/>
                <w:szCs w:val="18"/>
              </w:rPr>
            </w:pPr>
            <w:r>
              <w:rPr>
                <w:rFonts w:cs="Arial"/>
                <w:sz w:val="18"/>
                <w:szCs w:val="18"/>
              </w:rPr>
              <w:t>74.</w:t>
            </w:r>
            <w:r w:rsidR="00347C24">
              <w:rPr>
                <w:rFonts w:cs="Arial"/>
                <w:sz w:val="18"/>
                <w:szCs w:val="18"/>
              </w:rPr>
              <w:t>0</w:t>
            </w:r>
          </w:p>
        </w:tc>
      </w:tr>
    </w:tbl>
    <w:p w:rsidR="00CA03EC" w:rsidRDefault="00CA03EC" w:rsidP="00D26564"/>
    <w:p w:rsidR="003C1650" w:rsidRPr="004B4CA1" w:rsidRDefault="003C1650" w:rsidP="00D26564"/>
    <w:p w:rsidR="00D26564" w:rsidRPr="004B4CA1" w:rsidRDefault="00D26564" w:rsidP="00D26564">
      <w:pPr>
        <w:jc w:val="both"/>
        <w:rPr>
          <w:rFonts w:cs="Arial"/>
          <w:sz w:val="18"/>
          <w:szCs w:val="20"/>
        </w:rPr>
      </w:pPr>
      <w:r>
        <w:rPr>
          <w:sz w:val="18"/>
        </w:rPr>
        <w:t>Definitions:</w:t>
      </w:r>
    </w:p>
    <w:p w:rsidR="00D26564" w:rsidRPr="004B4CA1" w:rsidRDefault="00D26564" w:rsidP="00D26564">
      <w:pPr>
        <w:numPr>
          <w:ilvl w:val="0"/>
          <w:numId w:val="11"/>
        </w:numPr>
        <w:jc w:val="both"/>
        <w:rPr>
          <w:rFonts w:cs="Arial"/>
          <w:sz w:val="18"/>
          <w:szCs w:val="20"/>
        </w:rPr>
      </w:pPr>
      <w:r>
        <w:rPr>
          <w:b/>
          <w:sz w:val="18"/>
        </w:rPr>
        <w:t xml:space="preserve">Share of equity in current assets - </w:t>
      </w:r>
      <w:r>
        <w:rPr>
          <w:sz w:val="18"/>
        </w:rPr>
        <w:t>The ratio of equity to current assets,</w:t>
      </w:r>
    </w:p>
    <w:p w:rsidR="00D26564" w:rsidRPr="004B4CA1" w:rsidRDefault="00D26564" w:rsidP="00D26564">
      <w:pPr>
        <w:numPr>
          <w:ilvl w:val="0"/>
          <w:numId w:val="11"/>
        </w:numPr>
        <w:jc w:val="both"/>
        <w:rPr>
          <w:rFonts w:cs="Arial"/>
          <w:sz w:val="18"/>
          <w:szCs w:val="20"/>
        </w:rPr>
      </w:pPr>
      <w:r>
        <w:rPr>
          <w:b/>
          <w:sz w:val="18"/>
        </w:rPr>
        <w:t>Coverage ratio of fixed assets by equity capital</w:t>
      </w:r>
      <w:r>
        <w:rPr>
          <w:sz w:val="18"/>
        </w:rPr>
        <w:t xml:space="preserve"> - The ratio of equity to fixed assets,</w:t>
      </w:r>
    </w:p>
    <w:p w:rsidR="00D26564" w:rsidRPr="004B4CA1" w:rsidRDefault="00D26564" w:rsidP="00D26564">
      <w:pPr>
        <w:numPr>
          <w:ilvl w:val="0"/>
          <w:numId w:val="11"/>
        </w:numPr>
        <w:jc w:val="both"/>
        <w:rPr>
          <w:rFonts w:cs="Arial"/>
          <w:sz w:val="18"/>
          <w:szCs w:val="20"/>
        </w:rPr>
      </w:pPr>
      <w:r>
        <w:rPr>
          <w:b/>
          <w:sz w:val="18"/>
        </w:rPr>
        <w:t>Total indebtedness ratio</w:t>
      </w:r>
      <w:r>
        <w:rPr>
          <w:sz w:val="18"/>
        </w:rPr>
        <w:t xml:space="preserve"> - The ratio of total liabilities and provisions to assets,</w:t>
      </w:r>
    </w:p>
    <w:p w:rsidR="0086492B" w:rsidRPr="004B4CA1" w:rsidRDefault="00D26564" w:rsidP="00D26564">
      <w:pPr>
        <w:numPr>
          <w:ilvl w:val="0"/>
          <w:numId w:val="11"/>
        </w:numPr>
        <w:jc w:val="both"/>
        <w:rPr>
          <w:rFonts w:cs="Arial"/>
          <w:sz w:val="18"/>
          <w:szCs w:val="20"/>
        </w:rPr>
      </w:pPr>
      <w:r>
        <w:rPr>
          <w:b/>
          <w:sz w:val="18"/>
        </w:rPr>
        <w:t>Non-current / current indebtedness ratio</w:t>
      </w:r>
      <w:r>
        <w:rPr>
          <w:sz w:val="18"/>
        </w:rPr>
        <w:t xml:space="preserve"> - The ratio of non-current liabilities and provisions, current liabilities and provisions to balance sheet total,</w:t>
      </w:r>
    </w:p>
    <w:p w:rsidR="00D26564" w:rsidRPr="004B4CA1" w:rsidRDefault="00D26564" w:rsidP="00D26564">
      <w:pPr>
        <w:numPr>
          <w:ilvl w:val="0"/>
          <w:numId w:val="11"/>
        </w:numPr>
        <w:jc w:val="both"/>
        <w:rPr>
          <w:rFonts w:cs="Arial"/>
          <w:sz w:val="18"/>
          <w:szCs w:val="20"/>
        </w:rPr>
      </w:pPr>
      <w:r>
        <w:rPr>
          <w:b/>
          <w:sz w:val="18"/>
        </w:rPr>
        <w:t>Liabilities to equity ratio</w:t>
      </w:r>
      <w:r>
        <w:rPr>
          <w:sz w:val="18"/>
        </w:rPr>
        <w:t xml:space="preserve"> - The ratio of total liabilities and provisions at the end of a given period to equity.</w:t>
      </w:r>
    </w:p>
    <w:p w:rsidR="00D26564" w:rsidRPr="004B4CA1" w:rsidRDefault="00D26564" w:rsidP="00D26564">
      <w:pPr>
        <w:ind w:left="720"/>
        <w:jc w:val="both"/>
        <w:rPr>
          <w:rFonts w:cs="Arial"/>
          <w:sz w:val="18"/>
          <w:szCs w:val="20"/>
          <w:highlight w:val="yellow"/>
        </w:rPr>
      </w:pPr>
    </w:p>
    <w:p w:rsidR="0086492B" w:rsidRPr="004B4CA1" w:rsidRDefault="00575FB3" w:rsidP="00D26564">
      <w:pPr>
        <w:pStyle w:val="dAREK1"/>
        <w:rPr>
          <w:szCs w:val="20"/>
        </w:rPr>
      </w:pPr>
      <w:r>
        <w:t>The Management Board</w:t>
      </w:r>
      <w:r>
        <w:rPr>
          <w:b/>
        </w:rPr>
        <w:t xml:space="preserve"> </w:t>
      </w:r>
      <w:r w:rsidRPr="00575FB3">
        <w:t xml:space="preserve">of </w:t>
      </w:r>
      <w:r w:rsidR="00D26564">
        <w:t xml:space="preserve">CCC S.A. </w:t>
      </w:r>
      <w:r w:rsidR="00655F54">
        <w:t xml:space="preserve">highly </w:t>
      </w:r>
      <w:r w:rsidR="00D26564">
        <w:t>assesses the Company's ability to m</w:t>
      </w:r>
      <w:r w:rsidR="00655F54">
        <w:t>eet its contracted debt.</w:t>
      </w:r>
    </w:p>
    <w:p w:rsidR="00D26564" w:rsidRPr="004B4CA1" w:rsidRDefault="00D26564" w:rsidP="00D26564">
      <w:pPr>
        <w:pStyle w:val="Tekstpodstawowywcity"/>
        <w:ind w:left="0"/>
        <w:jc w:val="both"/>
        <w:rPr>
          <w:b/>
        </w:rPr>
      </w:pPr>
    </w:p>
    <w:p w:rsidR="003A675F" w:rsidRPr="004B4CA1" w:rsidRDefault="003A675F" w:rsidP="00275A91">
      <w:pPr>
        <w:pStyle w:val="Nagwek1"/>
      </w:pPr>
      <w:bookmarkStart w:id="14" w:name="_Toc228330403"/>
      <w:bookmarkStart w:id="15" w:name="_Toc301867622"/>
      <w:bookmarkStart w:id="16" w:name="_Toc325723761"/>
      <w:bookmarkStart w:id="17" w:name="_Toc366511804"/>
      <w:r>
        <w:lastRenderedPageBreak/>
        <w:t>Description of significant risks and hazards, identifying the extent to which the Companies of the Capital Group are exposed to them.</w:t>
      </w:r>
      <w:bookmarkEnd w:id="14"/>
      <w:bookmarkEnd w:id="15"/>
      <w:bookmarkEnd w:id="16"/>
      <w:bookmarkEnd w:id="17"/>
    </w:p>
    <w:p w:rsidR="003A675F" w:rsidRPr="004B4CA1" w:rsidRDefault="003A675F" w:rsidP="003A675F">
      <w:pPr>
        <w:pStyle w:val="dAREK1"/>
      </w:pPr>
      <w:r>
        <w:t>In the opinion of the Management Board of the dominant company, the activities of the Companies from the CCC S.A. Capital Group are influenced by the following factors:</w:t>
      </w:r>
    </w:p>
    <w:p w:rsidR="003A675F" w:rsidRPr="004B4CA1" w:rsidRDefault="003A675F" w:rsidP="003A675F">
      <w:pPr>
        <w:pStyle w:val="Tekstpodstawowy"/>
        <w:rPr>
          <w:rFonts w:cs="Arial"/>
          <w:b w:val="0"/>
          <w:bCs w:val="0"/>
        </w:rPr>
      </w:pPr>
    </w:p>
    <w:p w:rsidR="003A675F" w:rsidRPr="004B4CA1" w:rsidRDefault="003A675F" w:rsidP="003A675F">
      <w:pPr>
        <w:numPr>
          <w:ilvl w:val="0"/>
          <w:numId w:val="13"/>
        </w:numPr>
        <w:spacing w:after="240"/>
        <w:jc w:val="both"/>
        <w:rPr>
          <w:rFonts w:cs="Arial"/>
        </w:rPr>
      </w:pPr>
      <w:r>
        <w:t>Internal factors:</w:t>
      </w:r>
    </w:p>
    <w:p w:rsidR="0086492B" w:rsidRPr="00200512" w:rsidRDefault="003A675F" w:rsidP="009A7E23">
      <w:pPr>
        <w:pStyle w:val="Tekstpodstawowy"/>
        <w:numPr>
          <w:ilvl w:val="1"/>
          <w:numId w:val="12"/>
        </w:numPr>
        <w:spacing w:after="80"/>
        <w:ind w:left="709"/>
        <w:jc w:val="both"/>
        <w:rPr>
          <w:b w:val="0"/>
          <w:szCs w:val="20"/>
        </w:rPr>
      </w:pPr>
      <w:r>
        <w:rPr>
          <w:b w:val="0"/>
          <w:u w:val="single"/>
        </w:rPr>
        <w:t xml:space="preserve">Strengthening of own sales network </w:t>
      </w:r>
      <w:r>
        <w:rPr>
          <w:b w:val="0"/>
        </w:rPr>
        <w:t xml:space="preserve">In the years </w:t>
      </w:r>
      <w:r w:rsidR="006426A9">
        <w:rPr>
          <w:b w:val="0"/>
        </w:rPr>
        <w:t>2014</w:t>
      </w:r>
      <w:r>
        <w:rPr>
          <w:b w:val="0"/>
        </w:rPr>
        <w:t xml:space="preserve">-2015, the planned growth of the commercial space of the </w:t>
      </w:r>
      <w:r w:rsidR="00200512">
        <w:rPr>
          <w:b w:val="0"/>
        </w:rPr>
        <w:t xml:space="preserve">Group </w:t>
      </w:r>
      <w:r>
        <w:rPr>
          <w:b w:val="0"/>
        </w:rPr>
        <w:t xml:space="preserve">CCC S.A. shall amount to </w:t>
      </w:r>
      <w:r w:rsidR="00200512">
        <w:rPr>
          <w:b w:val="0"/>
        </w:rPr>
        <w:t xml:space="preserve">approx. 200 </w:t>
      </w:r>
      <w:r>
        <w:rPr>
          <w:b w:val="0"/>
        </w:rPr>
        <w:t xml:space="preserve">thousand </w:t>
      </w:r>
      <w:proofErr w:type="spellStart"/>
      <w:r>
        <w:rPr>
          <w:b w:val="0"/>
        </w:rPr>
        <w:t>sqm</w:t>
      </w:r>
      <w:proofErr w:type="spellEnd"/>
      <w:r>
        <w:rPr>
          <w:b w:val="0"/>
        </w:rPr>
        <w:t>:</w:t>
      </w:r>
    </w:p>
    <w:p w:rsidR="00200512" w:rsidRPr="00200512" w:rsidRDefault="00875B3C" w:rsidP="00200512">
      <w:pPr>
        <w:pStyle w:val="Tekstpodstawowy"/>
        <w:spacing w:after="80"/>
        <w:ind w:firstLine="346"/>
        <w:jc w:val="both"/>
        <w:rPr>
          <w:b w:val="0"/>
          <w:szCs w:val="20"/>
        </w:rPr>
      </w:pPr>
      <w:r>
        <w:rPr>
          <w:b w:val="0"/>
          <w:szCs w:val="20"/>
        </w:rPr>
        <w:t>- in 2013 – 42,3 thousand m</w:t>
      </w:r>
      <w:r>
        <w:rPr>
          <w:rFonts w:cs="Arial"/>
          <w:b w:val="0"/>
          <w:szCs w:val="20"/>
        </w:rPr>
        <w:t>²</w:t>
      </w:r>
      <w:r w:rsidR="00200512" w:rsidRPr="00200512">
        <w:rPr>
          <w:b w:val="0"/>
          <w:szCs w:val="20"/>
        </w:rPr>
        <w:t xml:space="preserve">, </w:t>
      </w:r>
    </w:p>
    <w:p w:rsidR="00200512" w:rsidRPr="00200512" w:rsidRDefault="00875B3C" w:rsidP="00875B3C">
      <w:pPr>
        <w:pStyle w:val="Tekstpodstawowy"/>
        <w:spacing w:after="80"/>
        <w:ind w:firstLine="346"/>
        <w:jc w:val="both"/>
        <w:rPr>
          <w:b w:val="0"/>
          <w:szCs w:val="20"/>
        </w:rPr>
      </w:pPr>
      <w:r>
        <w:rPr>
          <w:b w:val="0"/>
          <w:szCs w:val="20"/>
        </w:rPr>
        <w:t>- in 2014 – 75,0 thousand m</w:t>
      </w:r>
      <w:r>
        <w:rPr>
          <w:rFonts w:cs="Arial"/>
          <w:b w:val="0"/>
          <w:szCs w:val="20"/>
        </w:rPr>
        <w:t>²</w:t>
      </w:r>
      <w:r w:rsidR="00200512" w:rsidRPr="00200512">
        <w:rPr>
          <w:b w:val="0"/>
          <w:szCs w:val="20"/>
        </w:rPr>
        <w:t xml:space="preserve"> (an increase of over 30%), </w:t>
      </w:r>
    </w:p>
    <w:p w:rsidR="00200512" w:rsidRPr="004B4CA1" w:rsidRDefault="00875B3C" w:rsidP="00B91ABE">
      <w:pPr>
        <w:pStyle w:val="Tekstpodstawowy"/>
        <w:spacing w:after="80"/>
        <w:ind w:firstLine="346"/>
        <w:jc w:val="both"/>
        <w:rPr>
          <w:b w:val="0"/>
          <w:szCs w:val="20"/>
        </w:rPr>
      </w:pPr>
      <w:r>
        <w:rPr>
          <w:b w:val="0"/>
          <w:szCs w:val="20"/>
        </w:rPr>
        <w:t>- in 2015 - 80-95 thousand m</w:t>
      </w:r>
      <w:r>
        <w:rPr>
          <w:rFonts w:cs="Arial"/>
          <w:b w:val="0"/>
          <w:szCs w:val="20"/>
        </w:rPr>
        <w:t>²</w:t>
      </w:r>
      <w:r w:rsidR="00200512" w:rsidRPr="00200512">
        <w:rPr>
          <w:b w:val="0"/>
          <w:szCs w:val="20"/>
        </w:rPr>
        <w:t xml:space="preserve"> (estimated increase of 25% -30%).</w:t>
      </w:r>
    </w:p>
    <w:p w:rsidR="0086492B" w:rsidRPr="004B4CA1" w:rsidRDefault="003A675F" w:rsidP="00EA4321">
      <w:pPr>
        <w:pStyle w:val="Tekstpodstawowy"/>
        <w:numPr>
          <w:ilvl w:val="1"/>
          <w:numId w:val="12"/>
        </w:numPr>
        <w:spacing w:after="120"/>
        <w:jc w:val="both"/>
        <w:rPr>
          <w:rFonts w:cs="Arial"/>
          <w:b w:val="0"/>
          <w:bCs w:val="0"/>
        </w:rPr>
      </w:pPr>
      <w:r>
        <w:rPr>
          <w:b w:val="0"/>
          <w:u w:val="single"/>
        </w:rPr>
        <w:t>Activities aiming to increase recognition and brand value</w:t>
      </w:r>
      <w:r>
        <w:rPr>
          <w:b w:val="0"/>
        </w:rPr>
        <w:t xml:space="preserve">. Proper advertising and promotional means, store interior design and presence in prestigious locations should affect the systematic improvement and strengthening of the image of brands owned by the </w:t>
      </w:r>
      <w:r w:rsidR="00B91ABE">
        <w:rPr>
          <w:b w:val="0"/>
        </w:rPr>
        <w:t xml:space="preserve">Capital Group </w:t>
      </w:r>
      <w:r>
        <w:rPr>
          <w:b w:val="0"/>
        </w:rPr>
        <w:t>CCC S.A..</w:t>
      </w:r>
    </w:p>
    <w:p w:rsidR="003A675F" w:rsidRPr="004B4CA1" w:rsidRDefault="003A675F" w:rsidP="003A675F">
      <w:pPr>
        <w:pStyle w:val="Tekstpodstawowy"/>
        <w:numPr>
          <w:ilvl w:val="0"/>
          <w:numId w:val="13"/>
        </w:numPr>
        <w:spacing w:after="240"/>
        <w:rPr>
          <w:rFonts w:cs="Arial"/>
          <w:b w:val="0"/>
          <w:bCs w:val="0"/>
        </w:rPr>
      </w:pPr>
      <w:r>
        <w:rPr>
          <w:b w:val="0"/>
        </w:rPr>
        <w:t>External factors:</w:t>
      </w:r>
    </w:p>
    <w:p w:rsidR="0086492B" w:rsidRPr="004B4CA1" w:rsidRDefault="003A675F" w:rsidP="003A675F">
      <w:pPr>
        <w:pStyle w:val="Tekstpodstawowy"/>
        <w:numPr>
          <w:ilvl w:val="1"/>
          <w:numId w:val="12"/>
        </w:numPr>
        <w:spacing w:after="240"/>
        <w:jc w:val="both"/>
        <w:rPr>
          <w:rFonts w:cs="Arial"/>
          <w:b w:val="0"/>
          <w:bCs w:val="0"/>
        </w:rPr>
      </w:pPr>
      <w:r>
        <w:rPr>
          <w:b w:val="0"/>
          <w:u w:val="single"/>
        </w:rPr>
        <w:t>Currency exchange rates.</w:t>
      </w:r>
      <w:r>
        <w:rPr>
          <w:b w:val="0"/>
        </w:rPr>
        <w:t xml:space="preserve"> Due to the fact that the Companies of the CCC S.A. Capital Group process income in PLN, CZK, EUR, HUF, and bear most of the costs in foreign currency, the exchange rates of CZK, USD, HUF and EUR (virtually all impo</w:t>
      </w:r>
      <w:r w:rsidR="00B91ABE">
        <w:rPr>
          <w:b w:val="0"/>
        </w:rPr>
        <w:t xml:space="preserve">rts of the Group </w:t>
      </w:r>
      <w:r w:rsidR="00522428">
        <w:rPr>
          <w:b w:val="0"/>
        </w:rPr>
        <w:t xml:space="preserve">denominated in </w:t>
      </w:r>
      <w:r w:rsidR="00D91F3A">
        <w:rPr>
          <w:b w:val="0"/>
        </w:rPr>
        <w:t xml:space="preserve">the currencies of </w:t>
      </w:r>
      <w:r w:rsidR="00522428">
        <w:rPr>
          <w:b w:val="0"/>
        </w:rPr>
        <w:t xml:space="preserve">USD, EUR and </w:t>
      </w:r>
      <w:r w:rsidR="00D91F3A" w:rsidRPr="00D91F3A">
        <w:rPr>
          <w:b w:val="0"/>
        </w:rPr>
        <w:t>a large percentage of the cost of renting space in EUR</w:t>
      </w:r>
      <w:r w:rsidR="00522428">
        <w:rPr>
          <w:b w:val="0"/>
        </w:rPr>
        <w:t xml:space="preserve"> </w:t>
      </w:r>
      <w:r>
        <w:rPr>
          <w:b w:val="0"/>
        </w:rPr>
        <w:t xml:space="preserve">) will have an impact on the cost composition, the possible change in the sources of supply and the reporting of foreign exchange difference in the statement of total income. Since the main market of supply for </w:t>
      </w:r>
      <w:r w:rsidR="00D91F3A">
        <w:rPr>
          <w:b w:val="0"/>
        </w:rPr>
        <w:t xml:space="preserve">Capital Group </w:t>
      </w:r>
      <w:r>
        <w:rPr>
          <w:b w:val="0"/>
        </w:rPr>
        <w:t>CCC S.A. is the Chinese market, the Chinese currency exchange rate to the major world currencies is also not without significance. Its appreciation may negatively affect the import conditions. Part of the c</w:t>
      </w:r>
      <w:r w:rsidR="00D91F3A">
        <w:rPr>
          <w:b w:val="0"/>
        </w:rPr>
        <w:t xml:space="preserve">osts caused by currency </w:t>
      </w:r>
      <w:r w:rsidR="00475090">
        <w:rPr>
          <w:b w:val="0"/>
        </w:rPr>
        <w:t>fluctuations</w:t>
      </w:r>
      <w:r>
        <w:rPr>
          <w:b w:val="0"/>
        </w:rPr>
        <w:t xml:space="preserve"> can be passed on the consumers.</w:t>
      </w:r>
    </w:p>
    <w:p w:rsidR="003A675F" w:rsidRPr="004B4CA1" w:rsidRDefault="003A675F" w:rsidP="00064163">
      <w:pPr>
        <w:pStyle w:val="Tekstpodstawowy"/>
        <w:numPr>
          <w:ilvl w:val="1"/>
          <w:numId w:val="12"/>
        </w:numPr>
        <w:spacing w:after="120"/>
        <w:jc w:val="both"/>
        <w:rPr>
          <w:rFonts w:cs="Arial"/>
          <w:b w:val="0"/>
          <w:bCs w:val="0"/>
        </w:rPr>
      </w:pPr>
      <w:r>
        <w:rPr>
          <w:b w:val="0"/>
          <w:u w:val="single"/>
        </w:rPr>
        <w:t>Interest rate change.</w:t>
      </w:r>
      <w:r>
        <w:rPr>
          <w:b w:val="0"/>
        </w:rPr>
        <w:t xml:space="preserve"> CCC S.A. Capital Group is exposed to interest rate risk in connection with its loan agreements. These loans bear interest at a variable interest rate based on WIBOR</w:t>
      </w:r>
      <w:r w:rsidR="00475090">
        <w:rPr>
          <w:b w:val="0"/>
        </w:rPr>
        <w:t xml:space="preserve"> or LBR</w:t>
      </w:r>
      <w:r>
        <w:rPr>
          <w:b w:val="0"/>
        </w:rPr>
        <w:t>. Rising interest rates will affect the amount of interest paid on loans.</w:t>
      </w:r>
    </w:p>
    <w:p w:rsidR="006D601F" w:rsidRPr="004B4CA1" w:rsidRDefault="006D601F" w:rsidP="00064163">
      <w:pPr>
        <w:pStyle w:val="Tekstpodstawowy"/>
        <w:numPr>
          <w:ilvl w:val="1"/>
          <w:numId w:val="12"/>
        </w:numPr>
        <w:spacing w:after="120"/>
        <w:jc w:val="both"/>
        <w:rPr>
          <w:rFonts w:cs="Arial"/>
          <w:b w:val="0"/>
          <w:bCs w:val="0"/>
        </w:rPr>
      </w:pPr>
      <w:r>
        <w:rPr>
          <w:b w:val="0"/>
          <w:u w:val="single"/>
        </w:rPr>
        <w:t>Credit risk.</w:t>
      </w:r>
      <w:r>
        <w:rPr>
          <w:b w:val="0"/>
        </w:rPr>
        <w:t xml:space="preserve"> The source of this risk is the uncertainty of whether and when the debts shall be settled. As a part of wholesale, the sale with deferred payment term is also conducted, due to which CCC S.A. Capital Group is exposed to the risk of funding recipients. In order to maintain its leadership position in the footwear market, CCC S.A. Capital Group uses the trade loan instrument, additionally increasing the company's attractiveness for wholesale contractors.</w:t>
      </w:r>
    </w:p>
    <w:p w:rsidR="00CA03EC" w:rsidRPr="009F1B3A" w:rsidRDefault="003A675F" w:rsidP="009F1B3A">
      <w:pPr>
        <w:pStyle w:val="Tekstpodstawowy"/>
        <w:numPr>
          <w:ilvl w:val="1"/>
          <w:numId w:val="12"/>
        </w:numPr>
        <w:spacing w:after="120"/>
        <w:jc w:val="both"/>
        <w:rPr>
          <w:b w:val="0"/>
        </w:rPr>
      </w:pPr>
      <w:r>
        <w:rPr>
          <w:b w:val="0"/>
          <w:u w:val="single"/>
        </w:rPr>
        <w:t>Gene</w:t>
      </w:r>
      <w:r w:rsidR="00E33B0D">
        <w:rPr>
          <w:b w:val="0"/>
          <w:u w:val="single"/>
        </w:rPr>
        <w:t>ral economic situation</w:t>
      </w:r>
      <w:r>
        <w:rPr>
          <w:b w:val="0"/>
          <w:u w:val="single"/>
        </w:rPr>
        <w:t>.</w:t>
      </w:r>
      <w:r>
        <w:rPr>
          <w:b w:val="0"/>
        </w:rPr>
        <w:t xml:space="preserve"> </w:t>
      </w:r>
      <w:r w:rsidR="00E33B0D" w:rsidRPr="00E33B0D">
        <w:rPr>
          <w:b w:val="0"/>
        </w:rPr>
        <w:t xml:space="preserve">CCC Capital Group S.A. </w:t>
      </w:r>
      <w:r w:rsidR="00E33B0D">
        <w:rPr>
          <w:b w:val="0"/>
        </w:rPr>
        <w:t>runs its business</w:t>
      </w:r>
      <w:r w:rsidR="00E33B0D" w:rsidRPr="00E33B0D">
        <w:rPr>
          <w:b w:val="0"/>
        </w:rPr>
        <w:t xml:space="preserve"> mainly on the Polish, Czech, Hungarian, Slovak, hence </w:t>
      </w:r>
      <w:r w:rsidR="00FD608F" w:rsidRPr="00E33B0D">
        <w:rPr>
          <w:b w:val="0"/>
        </w:rPr>
        <w:t xml:space="preserve">purchasing power of consumers and their propensity to consume </w:t>
      </w:r>
      <w:r w:rsidR="00E33B0D" w:rsidRPr="00E33B0D">
        <w:rPr>
          <w:b w:val="0"/>
        </w:rPr>
        <w:t>is important for the Group. The economic downturn could have a negative impact on results of operations and financial condition</w:t>
      </w:r>
      <w:r w:rsidR="00764ACB">
        <w:rPr>
          <w:b w:val="0"/>
        </w:rPr>
        <w:t xml:space="preserve"> of the Group</w:t>
      </w:r>
      <w:r w:rsidR="00E33B0D" w:rsidRPr="00E33B0D">
        <w:rPr>
          <w:b w:val="0"/>
        </w:rPr>
        <w:t xml:space="preserve">. CCC Group also operates in several other foreign markets (Germany, Austria, Croatia, Turkey, Slovenia), which partially reduces the risk of significant loss of revenue in case of </w:t>
      </w:r>
      <w:r w:rsidR="00764ACB">
        <w:rPr>
          <w:b w:val="0"/>
        </w:rPr>
        <w:t xml:space="preserve">the </w:t>
      </w:r>
      <w:r w:rsidR="00E33B0D" w:rsidRPr="00E33B0D">
        <w:rPr>
          <w:b w:val="0"/>
        </w:rPr>
        <w:t>deterioration of the situation on one of the main markets.</w:t>
      </w:r>
    </w:p>
    <w:p w:rsidR="003A675F" w:rsidRPr="00B81842" w:rsidRDefault="003A675F" w:rsidP="00064163">
      <w:pPr>
        <w:pStyle w:val="Tekstpodstawowy"/>
        <w:numPr>
          <w:ilvl w:val="1"/>
          <w:numId w:val="12"/>
        </w:numPr>
        <w:spacing w:after="120"/>
        <w:jc w:val="both"/>
        <w:rPr>
          <w:b w:val="0"/>
          <w:bCs w:val="0"/>
        </w:rPr>
      </w:pPr>
      <w:bookmarkStart w:id="18" w:name="_Toc228330404"/>
      <w:bookmarkStart w:id="19" w:name="_Toc228330541"/>
      <w:bookmarkStart w:id="20" w:name="_Toc228335828"/>
      <w:bookmarkStart w:id="21" w:name="_Toc228588607"/>
      <w:r>
        <w:rPr>
          <w:b w:val="0"/>
          <w:u w:val="single"/>
        </w:rPr>
        <w:t>Seasonal sales and weather conditions.</w:t>
      </w:r>
      <w:r>
        <w:rPr>
          <w:b w:val="0"/>
        </w:rPr>
        <w:t xml:space="preserve"> </w:t>
      </w:r>
      <w:bookmarkStart w:id="22" w:name="_Toc228330405"/>
      <w:bookmarkStart w:id="23" w:name="_Toc228330542"/>
      <w:bookmarkStart w:id="24" w:name="_Toc228335829"/>
      <w:bookmarkStart w:id="25" w:name="_Toc228588608"/>
      <w:bookmarkEnd w:id="18"/>
      <w:bookmarkEnd w:id="19"/>
      <w:bookmarkEnd w:id="20"/>
      <w:bookmarkEnd w:id="21"/>
      <w:r>
        <w:rPr>
          <w:b w:val="0"/>
        </w:rPr>
        <w:t xml:space="preserve">Sales and inventory value are dependent on seasonal demand (the highest demand is in spring and fall). Weather disturbance may result in postponement of the customers' purchasing decisions or shortening of the best-selling season. Possessing own manufacturing capacity is a factor that allows for reducing the sensitivity of the </w:t>
      </w:r>
      <w:r w:rsidR="009F1B3A">
        <w:rPr>
          <w:b w:val="0"/>
        </w:rPr>
        <w:t xml:space="preserve">Capital Group </w:t>
      </w:r>
      <w:r>
        <w:rPr>
          <w:b w:val="0"/>
        </w:rPr>
        <w:t>CCC S.A. to seasonal and weather factors. The Group is able to quickly adjust production and deliver goods to stores in line with expectations and current weather conditions.</w:t>
      </w:r>
    </w:p>
    <w:p w:rsidR="00B81842" w:rsidRDefault="00B81842" w:rsidP="00B81842">
      <w:pPr>
        <w:pStyle w:val="Tekstpodstawowy"/>
        <w:spacing w:after="120"/>
        <w:ind w:left="720"/>
        <w:jc w:val="both"/>
        <w:rPr>
          <w:b w:val="0"/>
          <w:bCs w:val="0"/>
        </w:rPr>
      </w:pPr>
    </w:p>
    <w:p w:rsidR="00B81842" w:rsidRDefault="00B81842" w:rsidP="00B81842">
      <w:pPr>
        <w:pStyle w:val="Tekstpodstawowy"/>
        <w:spacing w:after="120"/>
        <w:ind w:left="720"/>
        <w:jc w:val="both"/>
        <w:rPr>
          <w:b w:val="0"/>
          <w:bCs w:val="0"/>
        </w:rPr>
      </w:pPr>
    </w:p>
    <w:p w:rsidR="00B81842" w:rsidRDefault="00B81842" w:rsidP="00B81842">
      <w:pPr>
        <w:pStyle w:val="Tekstpodstawowy"/>
        <w:spacing w:after="120"/>
        <w:ind w:left="720"/>
        <w:jc w:val="both"/>
        <w:rPr>
          <w:b w:val="0"/>
          <w:bCs w:val="0"/>
        </w:rPr>
      </w:pPr>
    </w:p>
    <w:p w:rsidR="00B81842" w:rsidRPr="00B81842" w:rsidRDefault="00B81842" w:rsidP="00B81842">
      <w:pPr>
        <w:pStyle w:val="Tekstpodstawowy"/>
        <w:spacing w:after="120"/>
        <w:ind w:left="720"/>
        <w:jc w:val="both"/>
        <w:rPr>
          <w:b w:val="0"/>
          <w:bCs w:val="0"/>
        </w:rPr>
      </w:pPr>
    </w:p>
    <w:p w:rsidR="00B81842" w:rsidRPr="00B81842" w:rsidRDefault="00B81842" w:rsidP="00B81842">
      <w:pPr>
        <w:pStyle w:val="Tekstpodstawowy"/>
        <w:numPr>
          <w:ilvl w:val="1"/>
          <w:numId w:val="12"/>
        </w:numPr>
        <w:spacing w:after="120"/>
        <w:jc w:val="both"/>
        <w:rPr>
          <w:b w:val="0"/>
          <w:bCs w:val="0"/>
        </w:rPr>
      </w:pPr>
      <w:r>
        <w:rPr>
          <w:b w:val="0"/>
          <w:u w:val="single"/>
        </w:rPr>
        <w:lastRenderedPageBreak/>
        <w:t>Trends in fashion and misguided collections.</w:t>
      </w:r>
      <w:r>
        <w:rPr>
          <w:b w:val="0"/>
        </w:rPr>
        <w:t xml:space="preserve"> Capital Group CCC S.A. is exposed to risks associated with misguided footwear collections. The factor allowing for reducing this risk is the market experience of the dominant company, constant observation of trends in the European and world fashion (participation in international footwear fashion fairs in, among others, Milan, Garda, Düsseldorf).</w:t>
      </w:r>
    </w:p>
    <w:p w:rsidR="009F1B3A" w:rsidRPr="0082004C" w:rsidRDefault="00B81842" w:rsidP="009F1B3A">
      <w:pPr>
        <w:pStyle w:val="Tekstpodstawowy"/>
        <w:numPr>
          <w:ilvl w:val="1"/>
          <w:numId w:val="12"/>
        </w:numPr>
        <w:spacing w:after="120"/>
        <w:jc w:val="both"/>
        <w:rPr>
          <w:b w:val="0"/>
          <w:bCs w:val="0"/>
        </w:rPr>
      </w:pPr>
      <w:r w:rsidRPr="005512A6">
        <w:rPr>
          <w:b w:val="0"/>
          <w:bCs w:val="0"/>
          <w:u w:val="single"/>
        </w:rPr>
        <w:t>Risks related to the current geopolitical situation in Ukraine and Russia</w:t>
      </w:r>
      <w:r w:rsidRPr="00B81842">
        <w:rPr>
          <w:b w:val="0"/>
          <w:bCs w:val="0"/>
        </w:rPr>
        <w:t xml:space="preserve">. Russia is one of the markets of the </w:t>
      </w:r>
      <w:r w:rsidR="00553ED7" w:rsidRPr="00B81842">
        <w:rPr>
          <w:b w:val="0"/>
          <w:bCs w:val="0"/>
        </w:rPr>
        <w:t xml:space="preserve">CCC </w:t>
      </w:r>
      <w:r w:rsidR="00553ED7">
        <w:rPr>
          <w:b w:val="0"/>
          <w:bCs w:val="0"/>
        </w:rPr>
        <w:t>Group</w:t>
      </w:r>
      <w:r w:rsidRPr="00B81842">
        <w:rPr>
          <w:b w:val="0"/>
          <w:bCs w:val="0"/>
        </w:rPr>
        <w:t xml:space="preserve">. Recent geopolitical and economic turbulence observed in the region, especially the events in Ukraine, could and could have a negative impact on the Russian economy, including the weakening of the Russian currency, rising interest rates, limited liquidity and weakening consumer sentiment. These events, including current and future international sanctions with regard to Russian companies and citizens associated with the uncertainty and variability in the supply chain may affect the Group's operations in the context of the sale of the franchise and the recoverability of amounts due. Future economic and regulatory situation may differ from the expectations of the </w:t>
      </w:r>
      <w:r w:rsidR="00D83086">
        <w:rPr>
          <w:b w:val="0"/>
          <w:bCs w:val="0"/>
        </w:rPr>
        <w:t xml:space="preserve">Management </w:t>
      </w:r>
      <w:r w:rsidRPr="00B81842">
        <w:rPr>
          <w:b w:val="0"/>
          <w:bCs w:val="0"/>
        </w:rPr>
        <w:t xml:space="preserve">Board, but the Group's management </w:t>
      </w:r>
      <w:r w:rsidR="00D83086">
        <w:rPr>
          <w:b w:val="0"/>
          <w:bCs w:val="0"/>
        </w:rPr>
        <w:t xml:space="preserve">is observing </w:t>
      </w:r>
      <w:r w:rsidRPr="00B81842">
        <w:rPr>
          <w:b w:val="0"/>
          <w:bCs w:val="0"/>
        </w:rPr>
        <w:t>closely the development of events and adjusts strategic intentions in order to minimize currency ri</w:t>
      </w:r>
      <w:r w:rsidR="00D83086">
        <w:rPr>
          <w:b w:val="0"/>
          <w:bCs w:val="0"/>
        </w:rPr>
        <w:t>sk and potential fluctuations of the</w:t>
      </w:r>
      <w:r w:rsidRPr="00B81842">
        <w:rPr>
          <w:b w:val="0"/>
          <w:bCs w:val="0"/>
        </w:rPr>
        <w:t xml:space="preserve"> demand. In addition, due to a marginal </w:t>
      </w:r>
      <w:r w:rsidR="001D54D1">
        <w:rPr>
          <w:b w:val="0"/>
          <w:bCs w:val="0"/>
        </w:rPr>
        <w:t xml:space="preserve">business activity </w:t>
      </w:r>
      <w:r w:rsidRPr="00B81842">
        <w:rPr>
          <w:b w:val="0"/>
          <w:bCs w:val="0"/>
        </w:rPr>
        <w:t xml:space="preserve">extent of the </w:t>
      </w:r>
      <w:r w:rsidR="001D54D1" w:rsidRPr="00B81842">
        <w:rPr>
          <w:b w:val="0"/>
          <w:bCs w:val="0"/>
        </w:rPr>
        <w:t xml:space="preserve">CCC </w:t>
      </w:r>
      <w:r w:rsidR="001D54D1">
        <w:rPr>
          <w:b w:val="0"/>
          <w:bCs w:val="0"/>
        </w:rPr>
        <w:t>Group</w:t>
      </w:r>
      <w:r w:rsidRPr="00B81842">
        <w:rPr>
          <w:b w:val="0"/>
          <w:bCs w:val="0"/>
        </w:rPr>
        <w:t xml:space="preserve"> in these markets, the </w:t>
      </w:r>
      <w:r w:rsidR="001D54D1">
        <w:rPr>
          <w:b w:val="0"/>
          <w:bCs w:val="0"/>
        </w:rPr>
        <w:t xml:space="preserve">Management </w:t>
      </w:r>
      <w:r w:rsidRPr="00B81842">
        <w:rPr>
          <w:b w:val="0"/>
          <w:bCs w:val="0"/>
        </w:rPr>
        <w:t>Board is of the opinion that the risk of negative impact of the current geopolitical system for economic and financial situation of the Group of CCC and its development prospects is small.</w:t>
      </w:r>
    </w:p>
    <w:p w:rsidR="003A675F" w:rsidRPr="004B4CA1" w:rsidRDefault="003A675F" w:rsidP="00064163">
      <w:pPr>
        <w:pStyle w:val="Tekstpodstawowy"/>
        <w:numPr>
          <w:ilvl w:val="1"/>
          <w:numId w:val="12"/>
        </w:numPr>
        <w:spacing w:after="120"/>
        <w:jc w:val="both"/>
        <w:rPr>
          <w:b w:val="0"/>
          <w:bCs w:val="0"/>
        </w:rPr>
      </w:pPr>
      <w:r>
        <w:rPr>
          <w:b w:val="0"/>
          <w:u w:val="single"/>
        </w:rPr>
        <w:t>Location of retail outlets.</w:t>
      </w:r>
      <w:r>
        <w:rPr>
          <w:b w:val="0"/>
        </w:rPr>
        <w:t xml:space="preserve"> Strengthening the market position through the dynamic development of the network of retail outlets may be associated with the risk of an misguided location of the store, as well as a limited number of new locations.</w:t>
      </w:r>
      <w:bookmarkEnd w:id="22"/>
      <w:bookmarkEnd w:id="23"/>
      <w:bookmarkEnd w:id="24"/>
      <w:bookmarkEnd w:id="25"/>
    </w:p>
    <w:p w:rsidR="003A675F" w:rsidRPr="004B4CA1" w:rsidRDefault="003A675F" w:rsidP="007370C9">
      <w:pPr>
        <w:pStyle w:val="Tekstpodstawowy"/>
        <w:numPr>
          <w:ilvl w:val="1"/>
          <w:numId w:val="12"/>
        </w:numPr>
        <w:spacing w:after="120"/>
        <w:jc w:val="both"/>
        <w:rPr>
          <w:b w:val="0"/>
          <w:bCs w:val="0"/>
        </w:rPr>
      </w:pPr>
      <w:r>
        <w:rPr>
          <w:b w:val="0"/>
          <w:u w:val="single"/>
        </w:rPr>
        <w:t>Trends in fashion and misguided collections.</w:t>
      </w:r>
      <w:r>
        <w:rPr>
          <w:b w:val="0"/>
        </w:rPr>
        <w:t xml:space="preserve"> CCC S.A. Capital Group is exposed to risks associated with misguided footwear collections. The factor allowing for reducing this risk is the market experience of the dominant company, constant observation of trends in the European and world fashion (participation in international footwear fashion fairs in, among others, Milan, Garda, Düsseldorf).</w:t>
      </w:r>
    </w:p>
    <w:p w:rsidR="003A675F" w:rsidRPr="004B4CA1" w:rsidRDefault="003A675F" w:rsidP="006D601F">
      <w:pPr>
        <w:pStyle w:val="dAREK1"/>
      </w:pPr>
      <w:r>
        <w:t xml:space="preserve">The Management Board of the dominant </w:t>
      </w:r>
      <w:r w:rsidR="0082004C">
        <w:t>entity</w:t>
      </w:r>
      <w:r>
        <w:t xml:space="preserve"> of </w:t>
      </w:r>
      <w:r w:rsidR="0082004C">
        <w:t xml:space="preserve">the Capital Group </w:t>
      </w:r>
      <w:r>
        <w:t>CCC S.A. informs that during the reporting period there were no factors or events of unusual nature, which would have a significant impact on the Group.</w:t>
      </w:r>
    </w:p>
    <w:p w:rsidR="003A675F" w:rsidRPr="004B4CA1" w:rsidRDefault="003A675F" w:rsidP="00275A91">
      <w:pPr>
        <w:pStyle w:val="Nagwek1"/>
      </w:pPr>
      <w:bookmarkStart w:id="26" w:name="_Toc301867623"/>
      <w:bookmarkStart w:id="27" w:name="_Toc325723762"/>
      <w:bookmarkStart w:id="28" w:name="_Toc366511805"/>
      <w:r>
        <w:t>Factors that, in the Issuer's view, will affect its results.</w:t>
      </w:r>
      <w:bookmarkEnd w:id="26"/>
      <w:bookmarkEnd w:id="27"/>
      <w:bookmarkEnd w:id="28"/>
    </w:p>
    <w:p w:rsidR="003A675F" w:rsidRPr="004B4CA1" w:rsidRDefault="003A675F" w:rsidP="003A675F">
      <w:pPr>
        <w:pStyle w:val="dAREK1"/>
      </w:pPr>
      <w:r>
        <w:t>In the Issuer's view, the major factors that will affect its performance in the near future are:</w:t>
      </w:r>
    </w:p>
    <w:p w:rsidR="003A675F" w:rsidRPr="004B4CA1" w:rsidRDefault="003A675F" w:rsidP="003A675F">
      <w:pPr>
        <w:pStyle w:val="dAREK1"/>
        <w:numPr>
          <w:ilvl w:val="0"/>
          <w:numId w:val="14"/>
        </w:numPr>
      </w:pPr>
      <w:r>
        <w:t>the volume of sales completed and margins generated,</w:t>
      </w:r>
    </w:p>
    <w:p w:rsidR="003A675F" w:rsidRPr="004B4CA1" w:rsidRDefault="003A675F" w:rsidP="003A675F">
      <w:pPr>
        <w:pStyle w:val="dAREK1"/>
        <w:numPr>
          <w:ilvl w:val="0"/>
          <w:numId w:val="14"/>
        </w:numPr>
      </w:pPr>
      <w:r>
        <w:t>further development of the CCC S.A. Capital Group's sales network</w:t>
      </w:r>
    </w:p>
    <w:p w:rsidR="003A675F" w:rsidRPr="004B4CA1" w:rsidRDefault="003A675F" w:rsidP="003A675F">
      <w:pPr>
        <w:pStyle w:val="dAREK1"/>
        <w:numPr>
          <w:ilvl w:val="0"/>
          <w:numId w:val="14"/>
        </w:numPr>
      </w:pPr>
      <w:r>
        <w:t>weather conditions,</w:t>
      </w:r>
    </w:p>
    <w:p w:rsidR="003A675F" w:rsidRPr="004B4CA1" w:rsidRDefault="003A675F" w:rsidP="003A675F">
      <w:pPr>
        <w:pStyle w:val="dAREK1"/>
        <w:numPr>
          <w:ilvl w:val="0"/>
          <w:numId w:val="14"/>
        </w:numPr>
      </w:pPr>
      <w:r>
        <w:t>currency exchange rates.</w:t>
      </w:r>
    </w:p>
    <w:p w:rsidR="003058B3" w:rsidRPr="004B4CA1" w:rsidRDefault="003058B3" w:rsidP="00275A91">
      <w:pPr>
        <w:pStyle w:val="Nagwek1"/>
      </w:pPr>
      <w:bookmarkStart w:id="29" w:name="_Toc301867624"/>
      <w:bookmarkStart w:id="30" w:name="_Toc325723763"/>
      <w:bookmarkStart w:id="31" w:name="_Toc366511806"/>
      <w:r>
        <w:t>Results of changes in the structure of the business entity, including results of business combinations, acquisitions or sales of entities in the Issuer's Capital Group, long-term investments, demergers, restructurings and discontinued operations.</w:t>
      </w:r>
      <w:bookmarkEnd w:id="29"/>
      <w:bookmarkEnd w:id="30"/>
      <w:bookmarkEnd w:id="31"/>
    </w:p>
    <w:p w:rsidR="006F359E" w:rsidRDefault="006F359E" w:rsidP="00D37BED">
      <w:pPr>
        <w:pStyle w:val="Legenda"/>
        <w:rPr>
          <w:b w:val="0"/>
          <w:bCs w:val="0"/>
          <w:szCs w:val="24"/>
        </w:rPr>
      </w:pPr>
      <w:r w:rsidRPr="006F359E">
        <w:rPr>
          <w:b w:val="0"/>
          <w:bCs w:val="0"/>
          <w:szCs w:val="24"/>
        </w:rPr>
        <w:t>In the reporting period there were no changes in the organizational structure.</w:t>
      </w:r>
    </w:p>
    <w:p w:rsidR="003058B3" w:rsidRPr="004B4CA1" w:rsidRDefault="003058B3" w:rsidP="00275A91">
      <w:pPr>
        <w:pStyle w:val="Nagwek1"/>
      </w:pPr>
      <w:bookmarkStart w:id="32" w:name="_Toc301867625"/>
      <w:bookmarkStart w:id="33" w:name="_Toc325723764"/>
      <w:bookmarkStart w:id="34" w:name="_Toc366511807"/>
      <w:r>
        <w:t>Information that, in the Issuer's view, is critical for the assessment of staffing, material and financial situation, the financial result and any changes thereto, as well as information that is critical for the assessment of the Issuer's ability to perform its liabilities.</w:t>
      </w:r>
      <w:bookmarkEnd w:id="32"/>
      <w:bookmarkEnd w:id="33"/>
      <w:bookmarkEnd w:id="34"/>
    </w:p>
    <w:p w:rsidR="003058B3" w:rsidRPr="004B4CA1" w:rsidRDefault="003058B3" w:rsidP="003058B3">
      <w:pPr>
        <w:pStyle w:val="Default"/>
        <w:jc w:val="both"/>
        <w:rPr>
          <w:sz w:val="20"/>
          <w:szCs w:val="20"/>
        </w:rPr>
      </w:pPr>
      <w:r>
        <w:rPr>
          <w:sz w:val="20"/>
        </w:rPr>
        <w:t xml:space="preserve">This </w:t>
      </w:r>
      <w:r w:rsidR="006F359E">
        <w:rPr>
          <w:sz w:val="20"/>
        </w:rPr>
        <w:t>interim condensed</w:t>
      </w:r>
      <w:r>
        <w:rPr>
          <w:sz w:val="20"/>
        </w:rPr>
        <w:t xml:space="preserve"> consolidated financial statements includes basic information that is relevant to the assessment of </w:t>
      </w:r>
      <w:r w:rsidR="00F308BD">
        <w:rPr>
          <w:sz w:val="20"/>
        </w:rPr>
        <w:t xml:space="preserve">the condition of the Capital Group </w:t>
      </w:r>
      <w:r>
        <w:rPr>
          <w:sz w:val="20"/>
        </w:rPr>
        <w:t>CCC S.A.</w:t>
      </w:r>
      <w:r w:rsidR="00F308BD">
        <w:rPr>
          <w:sz w:val="20"/>
        </w:rPr>
        <w:t xml:space="preserve">. </w:t>
      </w:r>
      <w:r>
        <w:rPr>
          <w:sz w:val="20"/>
        </w:rPr>
        <w:t>The Management Board believes that there is currently no threat for the Group's performance of commitments.</w:t>
      </w:r>
    </w:p>
    <w:p w:rsidR="00D26564" w:rsidRPr="004B4CA1" w:rsidRDefault="003058B3" w:rsidP="00275A91">
      <w:pPr>
        <w:pStyle w:val="Nagwek1"/>
      </w:pPr>
      <w:bookmarkStart w:id="35" w:name="_Toc325723765"/>
      <w:bookmarkStart w:id="36" w:name="_Toc366511808"/>
      <w:r>
        <w:t>The Management Board's view on the ability to deliver on the previously published result projections for the year, in the light of the results presented in the semi-annual report, compared to the projected results.</w:t>
      </w:r>
      <w:bookmarkEnd w:id="35"/>
      <w:bookmarkEnd w:id="36"/>
    </w:p>
    <w:p w:rsidR="003058B3" w:rsidRPr="004B4CA1" w:rsidRDefault="003058B3" w:rsidP="003058B3">
      <w:pPr>
        <w:pStyle w:val="dAREK1"/>
      </w:pPr>
      <w:r>
        <w:t xml:space="preserve">No projections for </w:t>
      </w:r>
      <w:r w:rsidR="006426A9">
        <w:t>2014</w:t>
      </w:r>
      <w:r>
        <w:t xml:space="preserve"> were published.</w:t>
      </w:r>
    </w:p>
    <w:p w:rsidR="0086492B" w:rsidRPr="004B4CA1" w:rsidRDefault="003058B3" w:rsidP="00275A91">
      <w:pPr>
        <w:pStyle w:val="Nagwek1"/>
      </w:pPr>
      <w:bookmarkStart w:id="37" w:name="_Toc228330407"/>
      <w:bookmarkStart w:id="38" w:name="_Toc301867627"/>
      <w:bookmarkStart w:id="39" w:name="_Toc325723766"/>
      <w:bookmarkStart w:id="40" w:name="_Toc366511809"/>
      <w:r>
        <w:lastRenderedPageBreak/>
        <w:t>Proceedings pending before court, an authority competent to conduct arbitration proceedings or a public administration body.</w:t>
      </w:r>
      <w:bookmarkEnd w:id="37"/>
      <w:bookmarkEnd w:id="38"/>
      <w:bookmarkEnd w:id="39"/>
      <w:bookmarkEnd w:id="40"/>
    </w:p>
    <w:p w:rsidR="003058B3" w:rsidRPr="004B4CA1" w:rsidRDefault="003058B3" w:rsidP="003058B3">
      <w:pPr>
        <w:jc w:val="both"/>
      </w:pPr>
      <w:r>
        <w:t xml:space="preserve">The companies of </w:t>
      </w:r>
      <w:r w:rsidR="004C392B">
        <w:t xml:space="preserve">the Capital Group </w:t>
      </w:r>
      <w:r>
        <w:t>CCC S.A. are not a party to any court proceedings in which the value of the subjects of dispute would exceed 10% of the Group's equities.</w:t>
      </w:r>
    </w:p>
    <w:p w:rsidR="000C5F9A" w:rsidRPr="004B4CA1" w:rsidRDefault="000C5F9A" w:rsidP="00275A91">
      <w:pPr>
        <w:pStyle w:val="Nagwek1"/>
      </w:pPr>
      <w:bookmarkStart w:id="41" w:name="_Toc301867628"/>
      <w:bookmarkStart w:id="42" w:name="_Toc325723767"/>
      <w:bookmarkStart w:id="43" w:name="_Toc366511810"/>
      <w:r>
        <w:t>Information on conclusion by the Issuer or its subsidiary of one or more related party transactions, if they are individually or jointly material and were concluded on non-market terms.</w:t>
      </w:r>
      <w:bookmarkEnd w:id="41"/>
      <w:bookmarkEnd w:id="42"/>
      <w:bookmarkEnd w:id="43"/>
    </w:p>
    <w:p w:rsidR="006F0315" w:rsidRPr="004B4CA1" w:rsidRDefault="006F0315" w:rsidP="006F0315">
      <w:pPr>
        <w:pStyle w:val="dAREK1"/>
      </w:pPr>
      <w:bookmarkStart w:id="44" w:name="_Toc301867629"/>
      <w:bookmarkStart w:id="45" w:name="_Toc325723768"/>
      <w:r>
        <w:t>There were no such events during the reporting period.</w:t>
      </w:r>
    </w:p>
    <w:p w:rsidR="000C5F9A" w:rsidRPr="004B4CA1" w:rsidRDefault="00F52B60" w:rsidP="00275A91">
      <w:pPr>
        <w:pStyle w:val="Nagwek1"/>
      </w:pPr>
      <w:bookmarkStart w:id="46" w:name="_Toc366511811"/>
      <w:r>
        <w:t>I</w:t>
      </w:r>
      <w:r w:rsidRPr="00F52B60">
        <w:t>nformation on granting by issuer or its subsidiary credit sureties, loan or granting a guarantee in total to a single entity or its subsidiary, if the total value of sureties or warranty is equal to at least 10% of the equity</w:t>
      </w:r>
      <w:bookmarkEnd w:id="44"/>
      <w:bookmarkEnd w:id="45"/>
      <w:bookmarkEnd w:id="46"/>
      <w:r>
        <w:t>.</w:t>
      </w:r>
    </w:p>
    <w:p w:rsidR="005C4A1F" w:rsidRPr="004B4CA1" w:rsidRDefault="000C5F9A" w:rsidP="000C5F9A">
      <w:pPr>
        <w:pStyle w:val="dAREK1"/>
      </w:pPr>
      <w:r>
        <w:t>There were no such events during the reporting period.</w:t>
      </w:r>
    </w:p>
    <w:p w:rsidR="000C5F9A" w:rsidRPr="004B4CA1" w:rsidRDefault="000C5F9A" w:rsidP="00275A91">
      <w:pPr>
        <w:pStyle w:val="Nagwek1"/>
      </w:pPr>
      <w:bookmarkStart w:id="47" w:name="_Toc301867630"/>
      <w:bookmarkStart w:id="48" w:name="_Toc325723769"/>
      <w:bookmarkStart w:id="49" w:name="_Toc366511812"/>
      <w:r>
        <w:t>The indication of shareholders holding directly or indirectly, through subsidiaries, at least 5% of the total number of votes at the General Meeting of Issuer on the date of submitting this report, together with the indication of the number of shares held, the percentage share in the share capital, the number of votes and percentage of the total number of votes at the General Meeting, and the indication of any changes in the ownership of large blocks of the Issuer's shares in the period since the submission of the previous quarterly report.</w:t>
      </w:r>
      <w:bookmarkEnd w:id="47"/>
      <w:bookmarkEnd w:id="48"/>
      <w:bookmarkEnd w:id="49"/>
    </w:p>
    <w:p w:rsidR="00400D30" w:rsidRDefault="00400D30" w:rsidP="00AA02BD">
      <w:pPr>
        <w:pStyle w:val="dAREK1"/>
      </w:pPr>
    </w:p>
    <w:p w:rsidR="000C5F9A" w:rsidRPr="004B4CA1" w:rsidRDefault="000C5F9A" w:rsidP="00AA02BD">
      <w:pPr>
        <w:pStyle w:val="dAREK1"/>
      </w:pPr>
      <w:r>
        <w:t>At the date of submitting this semi-annual report ,the list of shareholders holding at least 5% of the total number of votes at the General Meeting of Issuer is presented below.</w:t>
      </w:r>
    </w:p>
    <w:p w:rsidR="00271073" w:rsidRPr="004B4CA1" w:rsidRDefault="00271073" w:rsidP="00AA02BD">
      <w:pPr>
        <w:pStyle w:val="dAREK1"/>
      </w:pPr>
    </w:p>
    <w:p w:rsidR="00400D30" w:rsidRDefault="00400D30" w:rsidP="00E1292A">
      <w:pPr>
        <w:pStyle w:val="Legenda"/>
      </w:pPr>
    </w:p>
    <w:p w:rsidR="00715CFB" w:rsidRDefault="00E1292A" w:rsidP="00E1292A">
      <w:pPr>
        <w:pStyle w:val="Legenda"/>
      </w:pPr>
      <w:r>
        <w:t>Table</w:t>
      </w:r>
      <w:r w:rsidR="00F52B60">
        <w:t xml:space="preserve"> 9</w:t>
      </w:r>
      <w:r>
        <w:t>. List of shareholders holding at least 5% of the total number of votes at the General Meeting of Issuer</w:t>
      </w:r>
    </w:p>
    <w:p w:rsidR="00400D30" w:rsidRPr="00400D30" w:rsidRDefault="00400D30" w:rsidP="00400D30"/>
    <w:tbl>
      <w:tblPr>
        <w:tblW w:w="488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3417"/>
        <w:gridCol w:w="1504"/>
        <w:gridCol w:w="1262"/>
        <w:gridCol w:w="1485"/>
        <w:gridCol w:w="1719"/>
      </w:tblGrid>
      <w:tr w:rsidR="00AA150E" w:rsidRPr="004B4CA1" w:rsidTr="00CF25E7">
        <w:trPr>
          <w:cantSplit/>
          <w:trHeight w:hRule="exact" w:val="1306"/>
          <w:tblCellSpacing w:w="20" w:type="dxa"/>
          <w:jc w:val="center"/>
        </w:trPr>
        <w:tc>
          <w:tcPr>
            <w:tcW w:w="1788" w:type="pct"/>
            <w:tcBorders>
              <w:bottom w:val="outset" w:sz="6" w:space="0" w:color="auto"/>
            </w:tcBorders>
            <w:shd w:val="clear" w:color="auto" w:fill="D9D9D9" w:themeFill="background1" w:themeFillShade="D9"/>
            <w:vAlign w:val="center"/>
          </w:tcPr>
          <w:p w:rsidR="000C5F9A" w:rsidRPr="004B4CA1" w:rsidRDefault="000C5F9A" w:rsidP="00AA150E">
            <w:pPr>
              <w:keepNext/>
              <w:keepLines/>
              <w:autoSpaceDE w:val="0"/>
              <w:autoSpaceDN w:val="0"/>
              <w:adjustRightInd w:val="0"/>
              <w:jc w:val="center"/>
              <w:rPr>
                <w:rFonts w:cs="Arial"/>
                <w:b/>
                <w:bCs/>
                <w:sz w:val="18"/>
                <w:szCs w:val="18"/>
              </w:rPr>
            </w:pPr>
            <w:r>
              <w:rPr>
                <w:b/>
                <w:sz w:val="18"/>
              </w:rPr>
              <w:t>Shareholder</w:t>
            </w:r>
          </w:p>
        </w:tc>
        <w:tc>
          <w:tcPr>
            <w:tcW w:w="780" w:type="pct"/>
            <w:shd w:val="clear" w:color="auto" w:fill="D9D9D9" w:themeFill="background1" w:themeFillShade="D9"/>
            <w:vAlign w:val="center"/>
          </w:tcPr>
          <w:p w:rsidR="000C5F9A" w:rsidRPr="004B4CA1" w:rsidRDefault="000C5F9A" w:rsidP="00AA150E">
            <w:pPr>
              <w:keepNext/>
              <w:keepLines/>
              <w:autoSpaceDE w:val="0"/>
              <w:autoSpaceDN w:val="0"/>
              <w:adjustRightInd w:val="0"/>
              <w:jc w:val="center"/>
              <w:rPr>
                <w:rFonts w:cs="Arial"/>
                <w:b/>
                <w:bCs/>
                <w:sz w:val="18"/>
                <w:szCs w:val="18"/>
              </w:rPr>
            </w:pPr>
            <w:r>
              <w:rPr>
                <w:b/>
                <w:sz w:val="18"/>
              </w:rPr>
              <w:t>number of shares carrying voting rights</w:t>
            </w:r>
          </w:p>
        </w:tc>
        <w:tc>
          <w:tcPr>
            <w:tcW w:w="651" w:type="pct"/>
            <w:shd w:val="clear" w:color="auto" w:fill="D9D9D9" w:themeFill="background1" w:themeFillShade="D9"/>
            <w:vAlign w:val="center"/>
          </w:tcPr>
          <w:p w:rsidR="000C5F9A" w:rsidRPr="004B4CA1" w:rsidRDefault="000C5F9A" w:rsidP="00AA150E">
            <w:pPr>
              <w:keepNext/>
              <w:keepLines/>
              <w:autoSpaceDE w:val="0"/>
              <w:autoSpaceDN w:val="0"/>
              <w:adjustRightInd w:val="0"/>
              <w:jc w:val="center"/>
              <w:rPr>
                <w:rFonts w:cs="Arial"/>
                <w:b/>
                <w:bCs/>
                <w:sz w:val="18"/>
                <w:szCs w:val="18"/>
              </w:rPr>
            </w:pPr>
            <w:r>
              <w:rPr>
                <w:b/>
                <w:sz w:val="18"/>
              </w:rPr>
              <w:t>percentage share in the share capital</w:t>
            </w:r>
          </w:p>
        </w:tc>
        <w:tc>
          <w:tcPr>
            <w:tcW w:w="770" w:type="pct"/>
            <w:shd w:val="clear" w:color="auto" w:fill="D9D9D9" w:themeFill="background1" w:themeFillShade="D9"/>
            <w:vAlign w:val="center"/>
          </w:tcPr>
          <w:p w:rsidR="000C5F9A" w:rsidRPr="004B4CA1" w:rsidRDefault="000C5F9A" w:rsidP="00AA150E">
            <w:pPr>
              <w:keepNext/>
              <w:keepLines/>
              <w:autoSpaceDE w:val="0"/>
              <w:autoSpaceDN w:val="0"/>
              <w:adjustRightInd w:val="0"/>
              <w:jc w:val="center"/>
              <w:rPr>
                <w:rFonts w:cs="Arial"/>
                <w:b/>
                <w:bCs/>
                <w:sz w:val="18"/>
                <w:szCs w:val="18"/>
              </w:rPr>
            </w:pPr>
            <w:r>
              <w:rPr>
                <w:b/>
                <w:sz w:val="18"/>
              </w:rPr>
              <w:t>number of votes at the General Meeting</w:t>
            </w:r>
          </w:p>
        </w:tc>
        <w:tc>
          <w:tcPr>
            <w:tcW w:w="884" w:type="pct"/>
            <w:shd w:val="clear" w:color="auto" w:fill="D9D9D9" w:themeFill="background1" w:themeFillShade="D9"/>
            <w:vAlign w:val="center"/>
          </w:tcPr>
          <w:p w:rsidR="000C5F9A" w:rsidRPr="004B4CA1" w:rsidRDefault="000C5F9A" w:rsidP="00AA150E">
            <w:pPr>
              <w:keepNext/>
              <w:keepLines/>
              <w:autoSpaceDE w:val="0"/>
              <w:autoSpaceDN w:val="0"/>
              <w:adjustRightInd w:val="0"/>
              <w:jc w:val="center"/>
              <w:rPr>
                <w:rFonts w:cs="Arial"/>
                <w:b/>
                <w:bCs/>
                <w:sz w:val="18"/>
                <w:szCs w:val="18"/>
              </w:rPr>
            </w:pPr>
            <w:r>
              <w:rPr>
                <w:b/>
                <w:sz w:val="18"/>
              </w:rPr>
              <w:t>share in the overall number of votes at the General Meeting (%)</w:t>
            </w:r>
          </w:p>
        </w:tc>
      </w:tr>
      <w:tr w:rsidR="00715CFB" w:rsidRPr="004B4CA1" w:rsidTr="00CF25E7">
        <w:trPr>
          <w:cantSplit/>
          <w:trHeight w:hRule="exact" w:val="688"/>
          <w:tblCellSpacing w:w="20" w:type="dxa"/>
          <w:jc w:val="center"/>
        </w:trPr>
        <w:tc>
          <w:tcPr>
            <w:tcW w:w="1788" w:type="pct"/>
            <w:vAlign w:val="center"/>
          </w:tcPr>
          <w:p w:rsidR="00715CFB" w:rsidRPr="004B4CA1" w:rsidRDefault="00715CFB" w:rsidP="00D521A1">
            <w:pPr>
              <w:keepNext/>
              <w:rPr>
                <w:rFonts w:eastAsia="Calibri"/>
                <w:i/>
                <w:sz w:val="18"/>
                <w:szCs w:val="20"/>
              </w:rPr>
            </w:pPr>
            <w:r>
              <w:rPr>
                <w:color w:val="000000"/>
                <w:sz w:val="18"/>
              </w:rPr>
              <w:t xml:space="preserve"> </w:t>
            </w:r>
            <w:r>
              <w:rPr>
                <w:i/>
                <w:sz w:val="18"/>
              </w:rPr>
              <w:t>Luxprofi S.a.r.l.</w:t>
            </w:r>
          </w:p>
          <w:p w:rsidR="00715CFB" w:rsidRPr="004B4CA1" w:rsidRDefault="00715CFB" w:rsidP="00D521A1">
            <w:pPr>
              <w:keepNext/>
              <w:rPr>
                <w:rFonts w:eastAsia="Calibri"/>
                <w:i/>
                <w:sz w:val="16"/>
                <w:szCs w:val="16"/>
              </w:rPr>
            </w:pPr>
            <w:r>
              <w:rPr>
                <w:i/>
                <w:sz w:val="16"/>
              </w:rPr>
              <w:t>(subsidiary to Mr Dariusz Miłek)</w:t>
            </w:r>
          </w:p>
        </w:tc>
        <w:tc>
          <w:tcPr>
            <w:tcW w:w="780" w:type="pct"/>
          </w:tcPr>
          <w:p w:rsidR="00715CFB" w:rsidRPr="004B4CA1" w:rsidRDefault="00715CFB" w:rsidP="00D521A1">
            <w:pPr>
              <w:jc w:val="center"/>
              <w:rPr>
                <w:rFonts w:eastAsia="Calibri"/>
                <w:sz w:val="18"/>
                <w:szCs w:val="18"/>
              </w:rPr>
            </w:pPr>
          </w:p>
          <w:p w:rsidR="00715CFB" w:rsidRPr="004B4CA1" w:rsidRDefault="00715CFB" w:rsidP="00D521A1">
            <w:pPr>
              <w:jc w:val="center"/>
              <w:rPr>
                <w:rFonts w:cs="Arial"/>
                <w:color w:val="000000"/>
                <w:sz w:val="18"/>
                <w:szCs w:val="18"/>
              </w:rPr>
            </w:pPr>
            <w:r>
              <w:rPr>
                <w:sz w:val="18"/>
              </w:rPr>
              <w:t>13,360,000</w:t>
            </w:r>
          </w:p>
        </w:tc>
        <w:tc>
          <w:tcPr>
            <w:tcW w:w="651" w:type="pct"/>
          </w:tcPr>
          <w:p w:rsidR="00715CFB" w:rsidRPr="004B4CA1" w:rsidRDefault="00715CFB" w:rsidP="00D521A1">
            <w:pPr>
              <w:jc w:val="center"/>
              <w:rPr>
                <w:rFonts w:eastAsia="Calibri"/>
                <w:sz w:val="18"/>
                <w:szCs w:val="18"/>
              </w:rPr>
            </w:pPr>
          </w:p>
          <w:p w:rsidR="00715CFB" w:rsidRPr="004B4CA1" w:rsidRDefault="00715CFB" w:rsidP="00D521A1">
            <w:pPr>
              <w:jc w:val="center"/>
              <w:rPr>
                <w:rFonts w:cs="Arial"/>
                <w:sz w:val="18"/>
                <w:szCs w:val="18"/>
              </w:rPr>
            </w:pPr>
            <w:r>
              <w:rPr>
                <w:sz w:val="18"/>
              </w:rPr>
              <w:t>34.79</w:t>
            </w:r>
          </w:p>
        </w:tc>
        <w:tc>
          <w:tcPr>
            <w:tcW w:w="770" w:type="pct"/>
          </w:tcPr>
          <w:p w:rsidR="00715CFB" w:rsidRPr="004B4CA1" w:rsidRDefault="00715CFB" w:rsidP="00D521A1">
            <w:pPr>
              <w:jc w:val="center"/>
              <w:rPr>
                <w:rFonts w:eastAsia="Calibri"/>
                <w:sz w:val="18"/>
                <w:szCs w:val="20"/>
              </w:rPr>
            </w:pPr>
          </w:p>
          <w:p w:rsidR="00715CFB" w:rsidRPr="004B4CA1" w:rsidRDefault="00715CFB" w:rsidP="00D521A1">
            <w:pPr>
              <w:jc w:val="center"/>
              <w:rPr>
                <w:rFonts w:cs="Arial"/>
                <w:color w:val="000000"/>
                <w:sz w:val="18"/>
                <w:szCs w:val="18"/>
              </w:rPr>
            </w:pPr>
            <w:r>
              <w:rPr>
                <w:sz w:val="18"/>
              </w:rPr>
              <w:t>18,110,000</w:t>
            </w:r>
          </w:p>
        </w:tc>
        <w:tc>
          <w:tcPr>
            <w:tcW w:w="884" w:type="pct"/>
          </w:tcPr>
          <w:p w:rsidR="00715CFB" w:rsidRPr="004B4CA1" w:rsidRDefault="00715CFB" w:rsidP="00D521A1">
            <w:pPr>
              <w:jc w:val="center"/>
              <w:rPr>
                <w:rFonts w:eastAsia="Calibri"/>
                <w:sz w:val="18"/>
                <w:szCs w:val="20"/>
              </w:rPr>
            </w:pPr>
          </w:p>
          <w:p w:rsidR="00715CFB" w:rsidRPr="004B4CA1" w:rsidRDefault="00715CFB" w:rsidP="00D521A1">
            <w:pPr>
              <w:jc w:val="center"/>
              <w:rPr>
                <w:rFonts w:cs="Arial"/>
                <w:color w:val="000000"/>
                <w:sz w:val="18"/>
                <w:szCs w:val="18"/>
              </w:rPr>
            </w:pPr>
            <w:r>
              <w:rPr>
                <w:sz w:val="18"/>
              </w:rPr>
              <w:t>40.20</w:t>
            </w:r>
          </w:p>
        </w:tc>
      </w:tr>
      <w:tr w:rsidR="00715CFB" w:rsidRPr="004B4CA1" w:rsidTr="00CF25E7">
        <w:trPr>
          <w:cantSplit/>
          <w:trHeight w:hRule="exact" w:val="297"/>
          <w:tblCellSpacing w:w="20" w:type="dxa"/>
          <w:jc w:val="center"/>
        </w:trPr>
        <w:tc>
          <w:tcPr>
            <w:tcW w:w="1788" w:type="pct"/>
            <w:vAlign w:val="center"/>
          </w:tcPr>
          <w:p w:rsidR="00715CFB" w:rsidRPr="004B4CA1" w:rsidRDefault="00715CFB" w:rsidP="00D521A1">
            <w:pPr>
              <w:rPr>
                <w:rFonts w:cs="Arial"/>
                <w:color w:val="000000"/>
                <w:sz w:val="18"/>
                <w:szCs w:val="18"/>
              </w:rPr>
            </w:pPr>
            <w:r>
              <w:rPr>
                <w:color w:val="000000"/>
                <w:sz w:val="18"/>
              </w:rPr>
              <w:t>Mr Leszek Gaczorek</w:t>
            </w:r>
          </w:p>
        </w:tc>
        <w:tc>
          <w:tcPr>
            <w:tcW w:w="780" w:type="pct"/>
            <w:vAlign w:val="center"/>
          </w:tcPr>
          <w:p w:rsidR="00715CFB" w:rsidRPr="004B4CA1" w:rsidRDefault="00715CFB" w:rsidP="00D521A1">
            <w:pPr>
              <w:jc w:val="center"/>
              <w:rPr>
                <w:rFonts w:cs="Arial"/>
                <w:color w:val="000000"/>
                <w:sz w:val="18"/>
                <w:szCs w:val="18"/>
              </w:rPr>
            </w:pPr>
            <w:r>
              <w:rPr>
                <w:color w:val="000000"/>
                <w:sz w:val="18"/>
              </w:rPr>
              <w:t>3,010,000</w:t>
            </w:r>
          </w:p>
        </w:tc>
        <w:tc>
          <w:tcPr>
            <w:tcW w:w="651" w:type="pct"/>
            <w:vAlign w:val="center"/>
          </w:tcPr>
          <w:p w:rsidR="00715CFB" w:rsidRPr="004B4CA1" w:rsidRDefault="00715CFB" w:rsidP="00D521A1">
            <w:pPr>
              <w:jc w:val="center"/>
              <w:rPr>
                <w:rFonts w:cs="Arial"/>
                <w:color w:val="000000"/>
                <w:sz w:val="18"/>
                <w:szCs w:val="18"/>
              </w:rPr>
            </w:pPr>
            <w:r>
              <w:rPr>
                <w:sz w:val="18"/>
              </w:rPr>
              <w:t>7.84</w:t>
            </w:r>
          </w:p>
        </w:tc>
        <w:tc>
          <w:tcPr>
            <w:tcW w:w="770" w:type="pct"/>
            <w:vAlign w:val="center"/>
          </w:tcPr>
          <w:p w:rsidR="00715CFB" w:rsidRPr="004B4CA1" w:rsidRDefault="00715CFB" w:rsidP="00D521A1">
            <w:pPr>
              <w:jc w:val="center"/>
              <w:rPr>
                <w:rFonts w:cs="Arial"/>
                <w:color w:val="000000"/>
                <w:sz w:val="18"/>
                <w:szCs w:val="18"/>
              </w:rPr>
            </w:pPr>
            <w:r>
              <w:rPr>
                <w:sz w:val="18"/>
              </w:rPr>
              <w:t>4,760,000</w:t>
            </w:r>
          </w:p>
        </w:tc>
        <w:tc>
          <w:tcPr>
            <w:tcW w:w="884" w:type="pct"/>
            <w:vAlign w:val="center"/>
          </w:tcPr>
          <w:p w:rsidR="00715CFB" w:rsidRPr="004B4CA1" w:rsidRDefault="00715CFB" w:rsidP="00D521A1">
            <w:pPr>
              <w:jc w:val="center"/>
              <w:rPr>
                <w:rFonts w:cs="Arial"/>
                <w:color w:val="000000"/>
                <w:sz w:val="18"/>
                <w:szCs w:val="18"/>
              </w:rPr>
            </w:pPr>
            <w:r>
              <w:rPr>
                <w:sz w:val="18"/>
              </w:rPr>
              <w:t>10.57</w:t>
            </w:r>
          </w:p>
        </w:tc>
      </w:tr>
      <w:tr w:rsidR="00CF25E7" w:rsidRPr="004B4CA1" w:rsidTr="00CF25E7">
        <w:trPr>
          <w:cantSplit/>
          <w:trHeight w:hRule="exact" w:val="221"/>
          <w:tblCellSpacing w:w="20" w:type="dxa"/>
          <w:jc w:val="center"/>
        </w:trPr>
        <w:tc>
          <w:tcPr>
            <w:tcW w:w="1788" w:type="pct"/>
            <w:vAlign w:val="center"/>
          </w:tcPr>
          <w:p w:rsidR="00CF25E7" w:rsidRPr="004B4CA1" w:rsidRDefault="00CF25E7" w:rsidP="00D521A1">
            <w:pPr>
              <w:spacing w:before="100" w:beforeAutospacing="1" w:after="100" w:afterAutospacing="1"/>
              <w:rPr>
                <w:rFonts w:cs="Arial"/>
                <w:bCs/>
                <w:color w:val="000000"/>
                <w:sz w:val="18"/>
                <w:szCs w:val="18"/>
              </w:rPr>
            </w:pPr>
            <w:r>
              <w:rPr>
                <w:color w:val="000000"/>
                <w:sz w:val="18"/>
              </w:rPr>
              <w:t>Aviva OFE</w:t>
            </w:r>
          </w:p>
        </w:tc>
        <w:tc>
          <w:tcPr>
            <w:tcW w:w="780" w:type="pct"/>
            <w:vAlign w:val="center"/>
          </w:tcPr>
          <w:p w:rsidR="00CF25E7" w:rsidRPr="00E80ED5" w:rsidRDefault="00CF25E7" w:rsidP="00D35E87">
            <w:pPr>
              <w:jc w:val="center"/>
              <w:rPr>
                <w:rFonts w:cs="Arial"/>
                <w:color w:val="000000"/>
                <w:sz w:val="18"/>
                <w:szCs w:val="18"/>
              </w:rPr>
            </w:pPr>
            <w:r>
              <w:rPr>
                <w:rFonts w:cs="Arial"/>
                <w:color w:val="000000"/>
                <w:sz w:val="18"/>
                <w:szCs w:val="18"/>
              </w:rPr>
              <w:t>3,174,451</w:t>
            </w:r>
          </w:p>
        </w:tc>
        <w:tc>
          <w:tcPr>
            <w:tcW w:w="651" w:type="pct"/>
            <w:vAlign w:val="center"/>
          </w:tcPr>
          <w:p w:rsidR="00CF25E7" w:rsidRPr="00E80ED5" w:rsidRDefault="00CF25E7" w:rsidP="00D35E87">
            <w:pPr>
              <w:jc w:val="center"/>
              <w:rPr>
                <w:rFonts w:cs="Arial"/>
                <w:color w:val="000000"/>
                <w:sz w:val="18"/>
                <w:szCs w:val="18"/>
              </w:rPr>
            </w:pPr>
            <w:r>
              <w:rPr>
                <w:rFonts w:cs="Arial"/>
                <w:color w:val="000000"/>
                <w:sz w:val="18"/>
                <w:szCs w:val="18"/>
              </w:rPr>
              <w:t>8,27</w:t>
            </w:r>
          </w:p>
        </w:tc>
        <w:tc>
          <w:tcPr>
            <w:tcW w:w="770" w:type="pct"/>
            <w:vAlign w:val="center"/>
          </w:tcPr>
          <w:p w:rsidR="00CF25E7" w:rsidRPr="00E80ED5" w:rsidRDefault="00CF25E7" w:rsidP="00D35E87">
            <w:pPr>
              <w:jc w:val="center"/>
              <w:rPr>
                <w:rFonts w:cs="Arial"/>
                <w:color w:val="000000"/>
                <w:sz w:val="18"/>
                <w:szCs w:val="18"/>
              </w:rPr>
            </w:pPr>
            <w:r>
              <w:rPr>
                <w:rFonts w:cs="Arial"/>
                <w:color w:val="000000"/>
                <w:sz w:val="18"/>
                <w:szCs w:val="18"/>
              </w:rPr>
              <w:t>3,174,451</w:t>
            </w:r>
          </w:p>
        </w:tc>
        <w:tc>
          <w:tcPr>
            <w:tcW w:w="884" w:type="pct"/>
            <w:vAlign w:val="center"/>
          </w:tcPr>
          <w:p w:rsidR="00CF25E7" w:rsidRPr="00E80ED5" w:rsidRDefault="00CF25E7" w:rsidP="00D35E87">
            <w:pPr>
              <w:jc w:val="center"/>
              <w:rPr>
                <w:rFonts w:cs="Arial"/>
                <w:color w:val="000000"/>
                <w:sz w:val="18"/>
                <w:szCs w:val="18"/>
              </w:rPr>
            </w:pPr>
            <w:r>
              <w:rPr>
                <w:rFonts w:cs="Arial"/>
                <w:color w:val="000000"/>
                <w:sz w:val="18"/>
                <w:szCs w:val="18"/>
              </w:rPr>
              <w:t>7,05</w:t>
            </w:r>
          </w:p>
        </w:tc>
      </w:tr>
    </w:tbl>
    <w:p w:rsidR="00AA150E" w:rsidRDefault="00AA150E" w:rsidP="00AA150E">
      <w:pPr>
        <w:pStyle w:val="dAREK1"/>
        <w:spacing w:before="80"/>
      </w:pPr>
      <w:r>
        <w:t xml:space="preserve">At the date of submitting the financial statements for 1H </w:t>
      </w:r>
      <w:r w:rsidR="006426A9">
        <w:t>2014</w:t>
      </w:r>
      <w:r>
        <w:t xml:space="preserve">, the </w:t>
      </w:r>
      <w:r w:rsidR="006854B6">
        <w:t xml:space="preserve">Capital Group </w:t>
      </w:r>
      <w:r>
        <w:t>CCC S.A. did not have any information on other shareholders with the number of votes amounting to at least 5% at the General Meeting.</w:t>
      </w:r>
    </w:p>
    <w:p w:rsidR="006854B6" w:rsidRDefault="006854B6" w:rsidP="00AA150E">
      <w:pPr>
        <w:pStyle w:val="dAREK1"/>
        <w:spacing w:before="80"/>
      </w:pPr>
    </w:p>
    <w:p w:rsidR="006854B6" w:rsidRDefault="006854B6" w:rsidP="00AA150E">
      <w:pPr>
        <w:pStyle w:val="dAREK1"/>
        <w:spacing w:before="80"/>
      </w:pPr>
    </w:p>
    <w:p w:rsidR="006854B6" w:rsidRDefault="006854B6" w:rsidP="00AA150E">
      <w:pPr>
        <w:pStyle w:val="dAREK1"/>
        <w:spacing w:before="80"/>
      </w:pPr>
    </w:p>
    <w:p w:rsidR="00400D30" w:rsidRDefault="00400D30" w:rsidP="00AA150E">
      <w:pPr>
        <w:pStyle w:val="dAREK1"/>
        <w:spacing w:before="80"/>
      </w:pPr>
    </w:p>
    <w:p w:rsidR="00400D30" w:rsidRPr="004B4CA1" w:rsidRDefault="00400D30" w:rsidP="00AA150E">
      <w:pPr>
        <w:pStyle w:val="dAREK1"/>
        <w:spacing w:before="80"/>
      </w:pPr>
    </w:p>
    <w:p w:rsidR="009F5FB7" w:rsidRPr="004B4CA1" w:rsidRDefault="009F5FB7" w:rsidP="00275A91">
      <w:pPr>
        <w:pStyle w:val="Nagwek1"/>
      </w:pPr>
      <w:bookmarkStart w:id="50" w:name="_Toc301867631"/>
      <w:bookmarkStart w:id="51" w:name="_Toc325723770"/>
      <w:bookmarkStart w:id="52" w:name="_Toc366511813"/>
      <w:r>
        <w:lastRenderedPageBreak/>
        <w:t>Breakdown of the holding of the Issuer's shares or rights thereto by members of the Issuer's management and supervisory boards as at the date of submission of the semi-annual report, stating changes in ownership since the submission of the previous quarterly report, individually for each person.</w:t>
      </w:r>
      <w:bookmarkEnd w:id="50"/>
      <w:bookmarkEnd w:id="51"/>
      <w:bookmarkEnd w:id="52"/>
    </w:p>
    <w:p w:rsidR="009F5FB7" w:rsidRPr="004B4CA1" w:rsidRDefault="009F5FB7" w:rsidP="002C601E">
      <w:pPr>
        <w:spacing w:after="120"/>
        <w:jc w:val="both"/>
        <w:rPr>
          <w:rFonts w:cs="Arial"/>
        </w:rPr>
      </w:pPr>
      <w:r>
        <w:t>To the Issuer's best knowledge, the holding of shares by members of its management and supervisory boards is as follows.</w:t>
      </w:r>
    </w:p>
    <w:p w:rsidR="00A1456E" w:rsidRPr="004B4CA1" w:rsidRDefault="00E1292A" w:rsidP="00E1292A">
      <w:pPr>
        <w:pStyle w:val="Legenda"/>
      </w:pPr>
      <w:r>
        <w:t xml:space="preserve">Table </w:t>
      </w:r>
      <w:r w:rsidR="00400D30">
        <w:t>0</w:t>
      </w:r>
      <w:r>
        <w:t>. The statement of Issuer's shares ownership or the rights to them of other managing or supervising persons of the Issuer</w:t>
      </w:r>
    </w:p>
    <w:tbl>
      <w:tblPr>
        <w:tblW w:w="4933" w:type="pct"/>
        <w:tblCellSpacing w:w="20" w:type="dxa"/>
        <w:tblInd w:w="1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tblPr>
      <w:tblGrid>
        <w:gridCol w:w="4090"/>
        <w:gridCol w:w="3070"/>
        <w:gridCol w:w="2317"/>
      </w:tblGrid>
      <w:tr w:rsidR="00BA10F0" w:rsidRPr="004B4CA1" w:rsidTr="00311851">
        <w:trPr>
          <w:cantSplit/>
          <w:tblCellSpacing w:w="20" w:type="dxa"/>
        </w:trPr>
        <w:tc>
          <w:tcPr>
            <w:tcW w:w="2126" w:type="pct"/>
            <w:shd w:val="clear" w:color="auto" w:fill="D9D9D9" w:themeFill="background1" w:themeFillShade="D9"/>
            <w:vAlign w:val="center"/>
          </w:tcPr>
          <w:p w:rsidR="00BA10F0" w:rsidRPr="004B4CA1" w:rsidRDefault="00BA10F0" w:rsidP="00D521A1">
            <w:pPr>
              <w:jc w:val="center"/>
              <w:rPr>
                <w:rFonts w:cs="Arial"/>
                <w:b/>
                <w:bCs/>
                <w:sz w:val="19"/>
                <w:szCs w:val="19"/>
              </w:rPr>
            </w:pPr>
            <w:r>
              <w:rPr>
                <w:b/>
                <w:sz w:val="19"/>
              </w:rPr>
              <w:t>Position / Function</w:t>
            </w:r>
          </w:p>
          <w:p w:rsidR="00BA10F0" w:rsidRPr="004B4CA1" w:rsidRDefault="00BA10F0" w:rsidP="00D521A1">
            <w:pPr>
              <w:jc w:val="center"/>
              <w:rPr>
                <w:rFonts w:cs="Arial"/>
                <w:sz w:val="19"/>
                <w:szCs w:val="19"/>
              </w:rPr>
            </w:pPr>
            <w:r>
              <w:rPr>
                <w:b/>
                <w:sz w:val="19"/>
              </w:rPr>
              <w:t>First name and Surname</w:t>
            </w:r>
          </w:p>
        </w:tc>
        <w:tc>
          <w:tcPr>
            <w:tcW w:w="1599" w:type="pct"/>
            <w:shd w:val="clear" w:color="auto" w:fill="D9D9D9" w:themeFill="background1" w:themeFillShade="D9"/>
            <w:vAlign w:val="center"/>
          </w:tcPr>
          <w:p w:rsidR="0086492B" w:rsidRPr="004B4CA1" w:rsidRDefault="00AD1A0C" w:rsidP="00AD1A0C">
            <w:pPr>
              <w:pStyle w:val="Tekstpodstawowy"/>
              <w:jc w:val="center"/>
              <w:rPr>
                <w:bCs w:val="0"/>
                <w:sz w:val="18"/>
              </w:rPr>
            </w:pPr>
            <w:r>
              <w:rPr>
                <w:sz w:val="18"/>
              </w:rPr>
              <w:t>Shares held at the date of the report</w:t>
            </w:r>
          </w:p>
          <w:p w:rsidR="00BA10F0" w:rsidRPr="004B4CA1" w:rsidRDefault="00AD1A0C" w:rsidP="00AD1A0C">
            <w:pPr>
              <w:keepNext/>
              <w:jc w:val="center"/>
              <w:rPr>
                <w:rFonts w:cs="Arial"/>
                <w:b/>
                <w:bCs/>
                <w:sz w:val="19"/>
                <w:szCs w:val="19"/>
              </w:rPr>
            </w:pPr>
            <w:r>
              <w:rPr>
                <w:b/>
                <w:sz w:val="18"/>
              </w:rPr>
              <w:t xml:space="preserve">S.A.- PS </w:t>
            </w:r>
            <w:r w:rsidR="006426A9">
              <w:rPr>
                <w:b/>
                <w:sz w:val="18"/>
              </w:rPr>
              <w:t>2014</w:t>
            </w:r>
          </w:p>
        </w:tc>
        <w:tc>
          <w:tcPr>
            <w:tcW w:w="1191" w:type="pct"/>
            <w:shd w:val="clear" w:color="auto" w:fill="D9D9D9" w:themeFill="background1" w:themeFillShade="D9"/>
            <w:vAlign w:val="center"/>
          </w:tcPr>
          <w:p w:rsidR="0086492B" w:rsidRPr="004B4CA1" w:rsidRDefault="00AD1A0C" w:rsidP="00AD1A0C">
            <w:pPr>
              <w:pStyle w:val="Tekstpodstawowy"/>
              <w:jc w:val="center"/>
              <w:rPr>
                <w:bCs w:val="0"/>
                <w:sz w:val="18"/>
              </w:rPr>
            </w:pPr>
            <w:r>
              <w:rPr>
                <w:sz w:val="18"/>
              </w:rPr>
              <w:t>Shares held at the date of the report</w:t>
            </w:r>
          </w:p>
          <w:p w:rsidR="00BA10F0" w:rsidRPr="004B4CA1" w:rsidRDefault="00AD1A0C" w:rsidP="00AD1A0C">
            <w:pPr>
              <w:keepNext/>
              <w:jc w:val="center"/>
              <w:rPr>
                <w:rFonts w:cs="Arial"/>
                <w:b/>
                <w:bCs/>
                <w:sz w:val="19"/>
                <w:szCs w:val="19"/>
              </w:rPr>
            </w:pPr>
            <w:proofErr w:type="spellStart"/>
            <w:r>
              <w:rPr>
                <w:b/>
                <w:sz w:val="18"/>
              </w:rPr>
              <w:t>QSr</w:t>
            </w:r>
            <w:proofErr w:type="spellEnd"/>
            <w:r>
              <w:rPr>
                <w:b/>
                <w:sz w:val="18"/>
              </w:rPr>
              <w:t xml:space="preserve"> – I/</w:t>
            </w:r>
            <w:r w:rsidR="006426A9">
              <w:rPr>
                <w:b/>
                <w:sz w:val="18"/>
              </w:rPr>
              <w:t>2014</w:t>
            </w:r>
          </w:p>
        </w:tc>
      </w:tr>
      <w:tr w:rsidR="00AD1A0C" w:rsidRPr="004B4CA1" w:rsidTr="00311851">
        <w:trPr>
          <w:cantSplit/>
          <w:trHeight w:hRule="exact" w:val="568"/>
          <w:tblCellSpacing w:w="20" w:type="dxa"/>
        </w:trPr>
        <w:tc>
          <w:tcPr>
            <w:tcW w:w="2126" w:type="pct"/>
            <w:vAlign w:val="center"/>
          </w:tcPr>
          <w:p w:rsidR="00400D30" w:rsidRDefault="00AD1A0C" w:rsidP="00D521A1">
            <w:pPr>
              <w:pStyle w:val="Tekstpodstawowy"/>
              <w:rPr>
                <w:b w:val="0"/>
                <w:sz w:val="19"/>
              </w:rPr>
            </w:pPr>
            <w:r>
              <w:rPr>
                <w:b w:val="0"/>
                <w:sz w:val="19"/>
              </w:rPr>
              <w:t xml:space="preserve">President of the Management Board – </w:t>
            </w:r>
          </w:p>
          <w:p w:rsidR="00AD1A0C" w:rsidRPr="004B4CA1" w:rsidRDefault="00AD1A0C" w:rsidP="00D521A1">
            <w:pPr>
              <w:pStyle w:val="Tekstpodstawowy"/>
              <w:rPr>
                <w:b w:val="0"/>
                <w:sz w:val="19"/>
                <w:szCs w:val="19"/>
              </w:rPr>
            </w:pPr>
            <w:r>
              <w:rPr>
                <w:b w:val="0"/>
                <w:sz w:val="19"/>
              </w:rPr>
              <w:t>Mr</w:t>
            </w:r>
            <w:r w:rsidR="00400D30">
              <w:rPr>
                <w:b w:val="0"/>
                <w:sz w:val="19"/>
              </w:rPr>
              <w:t>.</w:t>
            </w:r>
            <w:r>
              <w:rPr>
                <w:b w:val="0"/>
                <w:sz w:val="19"/>
              </w:rPr>
              <w:t xml:space="preserve"> Dariusz Miłek*</w:t>
            </w:r>
          </w:p>
        </w:tc>
        <w:tc>
          <w:tcPr>
            <w:tcW w:w="1599" w:type="pct"/>
            <w:vAlign w:val="center"/>
          </w:tcPr>
          <w:p w:rsidR="00AD1A0C" w:rsidRPr="004B4CA1" w:rsidRDefault="00AD1A0C" w:rsidP="00AD1A0C">
            <w:pPr>
              <w:pStyle w:val="Tekstpodstawowy"/>
              <w:ind w:right="606"/>
              <w:jc w:val="right"/>
              <w:rPr>
                <w:b w:val="0"/>
                <w:sz w:val="19"/>
                <w:szCs w:val="19"/>
              </w:rPr>
            </w:pPr>
            <w:r>
              <w:rPr>
                <w:b w:val="0"/>
                <w:sz w:val="19"/>
              </w:rPr>
              <w:t>13,360,000</w:t>
            </w:r>
          </w:p>
        </w:tc>
        <w:tc>
          <w:tcPr>
            <w:tcW w:w="1191" w:type="pct"/>
            <w:vAlign w:val="center"/>
          </w:tcPr>
          <w:p w:rsidR="00AD1A0C" w:rsidRPr="004B4CA1" w:rsidRDefault="00AD1A0C" w:rsidP="00AD1A0C">
            <w:pPr>
              <w:pStyle w:val="Tekstpodstawowy"/>
              <w:ind w:right="425"/>
              <w:jc w:val="right"/>
              <w:rPr>
                <w:b w:val="0"/>
                <w:sz w:val="19"/>
                <w:szCs w:val="19"/>
              </w:rPr>
            </w:pPr>
            <w:r>
              <w:rPr>
                <w:b w:val="0"/>
                <w:sz w:val="19"/>
              </w:rPr>
              <w:t>13,360,000</w:t>
            </w:r>
          </w:p>
        </w:tc>
      </w:tr>
      <w:tr w:rsidR="00AD1A0C" w:rsidRPr="004B4CA1" w:rsidTr="00311851">
        <w:trPr>
          <w:cantSplit/>
          <w:trHeight w:hRule="exact" w:val="534"/>
          <w:tblCellSpacing w:w="20" w:type="dxa"/>
        </w:trPr>
        <w:tc>
          <w:tcPr>
            <w:tcW w:w="2126" w:type="pct"/>
            <w:vAlign w:val="center"/>
          </w:tcPr>
          <w:p w:rsidR="00AD1A0C" w:rsidRPr="004B4CA1" w:rsidRDefault="00AD1A0C" w:rsidP="00D521A1">
            <w:pPr>
              <w:pStyle w:val="Tekstpodstawowy"/>
              <w:rPr>
                <w:b w:val="0"/>
                <w:bCs w:val="0"/>
                <w:sz w:val="19"/>
                <w:szCs w:val="19"/>
              </w:rPr>
            </w:pPr>
            <w:r>
              <w:rPr>
                <w:b w:val="0"/>
                <w:sz w:val="19"/>
              </w:rPr>
              <w:t>Vice President of the Management Board – Mr</w:t>
            </w:r>
            <w:r w:rsidR="00311851">
              <w:rPr>
                <w:b w:val="0"/>
                <w:sz w:val="19"/>
              </w:rPr>
              <w:t>.</w:t>
            </w:r>
            <w:r>
              <w:rPr>
                <w:b w:val="0"/>
                <w:sz w:val="19"/>
              </w:rPr>
              <w:t xml:space="preserve"> Mariusz Gnych</w:t>
            </w:r>
          </w:p>
        </w:tc>
        <w:tc>
          <w:tcPr>
            <w:tcW w:w="1599" w:type="pct"/>
            <w:vAlign w:val="center"/>
          </w:tcPr>
          <w:p w:rsidR="00AD1A0C" w:rsidRPr="004B4CA1" w:rsidRDefault="00AD1A0C" w:rsidP="00AD1A0C">
            <w:pPr>
              <w:pStyle w:val="Tekstpodstawowy"/>
              <w:ind w:right="606"/>
              <w:jc w:val="right"/>
              <w:rPr>
                <w:b w:val="0"/>
                <w:bCs w:val="0"/>
                <w:color w:val="000000"/>
                <w:sz w:val="19"/>
                <w:szCs w:val="19"/>
              </w:rPr>
            </w:pPr>
            <w:r>
              <w:rPr>
                <w:b w:val="0"/>
                <w:sz w:val="19"/>
              </w:rPr>
              <w:t>120,000</w:t>
            </w:r>
          </w:p>
        </w:tc>
        <w:tc>
          <w:tcPr>
            <w:tcW w:w="1191" w:type="pct"/>
            <w:vAlign w:val="center"/>
          </w:tcPr>
          <w:p w:rsidR="00AD1A0C" w:rsidRPr="004B4CA1" w:rsidRDefault="00AD1A0C" w:rsidP="00AD1A0C">
            <w:pPr>
              <w:pStyle w:val="Tekstpodstawowy"/>
              <w:ind w:right="425"/>
              <w:jc w:val="right"/>
              <w:rPr>
                <w:b w:val="0"/>
                <w:bCs w:val="0"/>
                <w:color w:val="000000"/>
                <w:sz w:val="19"/>
                <w:szCs w:val="19"/>
              </w:rPr>
            </w:pPr>
            <w:r>
              <w:rPr>
                <w:b w:val="0"/>
                <w:sz w:val="19"/>
              </w:rPr>
              <w:t>120,000</w:t>
            </w:r>
          </w:p>
        </w:tc>
      </w:tr>
    </w:tbl>
    <w:p w:rsidR="00BA10F0" w:rsidRPr="004B4CA1" w:rsidRDefault="00BA10F0" w:rsidP="00BA10F0">
      <w:pPr>
        <w:pStyle w:val="dAREK1"/>
        <w:rPr>
          <w:i/>
          <w:sz w:val="18"/>
          <w:szCs w:val="18"/>
        </w:rPr>
      </w:pPr>
      <w:r>
        <w:rPr>
          <w:i/>
          <w:sz w:val="18"/>
        </w:rPr>
        <w:t>*indirectly as a dominant entity in Luxprofi S.a.r.l. company</w:t>
      </w:r>
    </w:p>
    <w:p w:rsidR="00C23F51" w:rsidRDefault="00C23F51" w:rsidP="00275A91">
      <w:pPr>
        <w:pStyle w:val="Nagwek1"/>
      </w:pPr>
      <w:bookmarkStart w:id="53" w:name="_Toc301867632"/>
      <w:bookmarkStart w:id="54" w:name="_Toc325723771"/>
      <w:bookmarkStart w:id="55" w:name="_Toc366511814"/>
      <w:r>
        <w:t>Information about the issue, redemption and repayment of debt and equity securities.</w:t>
      </w:r>
      <w:bookmarkEnd w:id="53"/>
      <w:bookmarkEnd w:id="54"/>
      <w:bookmarkEnd w:id="55"/>
    </w:p>
    <w:p w:rsidR="00791E52" w:rsidRDefault="00791E52" w:rsidP="009761E1">
      <w:pPr>
        <w:jc w:val="both"/>
      </w:pPr>
      <w:r>
        <w:t xml:space="preserve">On June 10, 2014, the Company issued bonds </w:t>
      </w:r>
      <w:r w:rsidR="00D717BC">
        <w:t xml:space="preserve">of </w:t>
      </w:r>
      <w:r>
        <w:t>CCC S</w:t>
      </w:r>
      <w:r w:rsidR="00D717BC">
        <w:t>.</w:t>
      </w:r>
      <w:r>
        <w:t>A</w:t>
      </w:r>
      <w:r w:rsidR="00D717BC">
        <w:t>.</w:t>
      </w:r>
      <w:r>
        <w:t xml:space="preserve"> within the of the Bond Issue Programme. </w:t>
      </w:r>
    </w:p>
    <w:p w:rsidR="00791E52" w:rsidRDefault="00791E52" w:rsidP="009761E1">
      <w:pPr>
        <w:jc w:val="both"/>
      </w:pPr>
      <w:r>
        <w:t xml:space="preserve">The purpose of the </w:t>
      </w:r>
      <w:r w:rsidR="00D717BC">
        <w:t xml:space="preserve">bond </w:t>
      </w:r>
      <w:r>
        <w:t>issue was to raise funds to finance the development of the sales network and logistics infrastructure investments. The bonds were issued in Polish zlotys, as bearer</w:t>
      </w:r>
      <w:r w:rsidR="009761E1">
        <w:t xml:space="preserve"> securities</w:t>
      </w:r>
      <w:r>
        <w:t>, dematerialized, coupon</w:t>
      </w:r>
      <w:r w:rsidR="009761E1">
        <w:t xml:space="preserve"> ones</w:t>
      </w:r>
      <w:r>
        <w:t xml:space="preserve">. The bonds were issued to the following terms and conditions of issue: </w:t>
      </w:r>
    </w:p>
    <w:p w:rsidR="00791E52" w:rsidRDefault="00791E52" w:rsidP="009761E1">
      <w:pPr>
        <w:jc w:val="both"/>
      </w:pPr>
      <w:r>
        <w:t xml:space="preserve">1) The nominal value of one bond - 1.000; </w:t>
      </w:r>
    </w:p>
    <w:p w:rsidR="00791E52" w:rsidRDefault="00791E52" w:rsidP="009761E1">
      <w:pPr>
        <w:jc w:val="both"/>
      </w:pPr>
      <w:r>
        <w:t xml:space="preserve">2) Issue Price: equal to the par value of one bond; </w:t>
      </w:r>
    </w:p>
    <w:p w:rsidR="00791E52" w:rsidRDefault="00791E52" w:rsidP="009761E1">
      <w:pPr>
        <w:jc w:val="both"/>
      </w:pPr>
      <w:r>
        <w:t xml:space="preserve">3) Number of bonds - 210,000; </w:t>
      </w:r>
    </w:p>
    <w:p w:rsidR="00791E52" w:rsidRDefault="00791E52" w:rsidP="009761E1">
      <w:pPr>
        <w:jc w:val="both"/>
      </w:pPr>
      <w:r>
        <w:t xml:space="preserve">4) The total nominal value of bonds - PLN 210,000,000; </w:t>
      </w:r>
    </w:p>
    <w:p w:rsidR="00791E52" w:rsidRDefault="00791E52" w:rsidP="009761E1">
      <w:pPr>
        <w:jc w:val="both"/>
      </w:pPr>
      <w:r>
        <w:t>5) Redemption of bonds - a one-time redemption at par valu</w:t>
      </w:r>
      <w:r w:rsidR="00E413E8">
        <w:t>e of bonds on June 10, 2019</w:t>
      </w:r>
      <w:r>
        <w:t xml:space="preserve">; </w:t>
      </w:r>
    </w:p>
    <w:p w:rsidR="00791E52" w:rsidRDefault="00791E52" w:rsidP="009761E1">
      <w:pPr>
        <w:jc w:val="both"/>
      </w:pPr>
      <w:r>
        <w:t xml:space="preserve">6) The interest rate </w:t>
      </w:r>
      <w:r w:rsidR="00E413E8">
        <w:t xml:space="preserve">of </w:t>
      </w:r>
      <w:r>
        <w:t>coupon bonds: a</w:t>
      </w:r>
      <w:r w:rsidR="00D35E87">
        <w:t>ccording to a</w:t>
      </w:r>
      <w:r>
        <w:t xml:space="preserve"> variable rate based on the</w:t>
      </w:r>
      <w:r w:rsidR="00D35E87">
        <w:t xml:space="preserve"> WIBOR 6M plus a fixed margin; i</w:t>
      </w:r>
      <w:r>
        <w:t xml:space="preserve">nterest will be paid </w:t>
      </w:r>
      <w:r w:rsidR="00D35E87">
        <w:t>in semi-annual periods</w:t>
      </w:r>
      <w:r>
        <w:t xml:space="preserve">; </w:t>
      </w:r>
    </w:p>
    <w:p w:rsidR="00791E52" w:rsidRPr="00791E52" w:rsidRDefault="00791E52" w:rsidP="009761E1">
      <w:pPr>
        <w:jc w:val="both"/>
      </w:pPr>
      <w:r>
        <w:t>7) The bonds are secured by a guarantee issued by the Company's subsidiaries.</w:t>
      </w:r>
    </w:p>
    <w:p w:rsidR="006727E3" w:rsidRPr="004B4CA1" w:rsidRDefault="00C23F51" w:rsidP="00275A91">
      <w:pPr>
        <w:pStyle w:val="Nagwek1"/>
      </w:pPr>
      <w:bookmarkStart w:id="56" w:name="_Toc301867633"/>
      <w:bookmarkStart w:id="57" w:name="_Toc325723772"/>
      <w:bookmarkStart w:id="58" w:name="_Toc366511815"/>
      <w:r>
        <w:t>Significant events after the balance sheet date.</w:t>
      </w:r>
      <w:bookmarkEnd w:id="56"/>
      <w:bookmarkEnd w:id="57"/>
      <w:bookmarkEnd w:id="58"/>
    </w:p>
    <w:p w:rsidR="00E86927" w:rsidRPr="004B4CA1" w:rsidRDefault="00E86927" w:rsidP="00E86927">
      <w:pPr>
        <w:pStyle w:val="Default"/>
        <w:jc w:val="both"/>
        <w:rPr>
          <w:sz w:val="20"/>
          <w:szCs w:val="20"/>
        </w:rPr>
      </w:pPr>
      <w:r>
        <w:rPr>
          <w:sz w:val="20"/>
        </w:rPr>
        <w:t xml:space="preserve">On </w:t>
      </w:r>
      <w:r w:rsidR="004A337E" w:rsidRPr="004A337E">
        <w:rPr>
          <w:sz w:val="20"/>
        </w:rPr>
        <w:t xml:space="preserve">August 12, 2014, at the meeting of the Supervisory Board </w:t>
      </w:r>
      <w:r w:rsidR="00C81EB1">
        <w:rPr>
          <w:sz w:val="20"/>
        </w:rPr>
        <w:t xml:space="preserve">the </w:t>
      </w:r>
      <w:r w:rsidR="004A337E" w:rsidRPr="004A337E">
        <w:rPr>
          <w:sz w:val="20"/>
        </w:rPr>
        <w:t>resolution was passed on the consent to the disposal of an organized part of the</w:t>
      </w:r>
      <w:r w:rsidR="00C81EB1">
        <w:rPr>
          <w:sz w:val="20"/>
        </w:rPr>
        <w:t xml:space="preserve"> enterprise in the form of a Unit</w:t>
      </w:r>
      <w:r w:rsidR="004A337E" w:rsidRPr="004A337E">
        <w:rPr>
          <w:sz w:val="20"/>
        </w:rPr>
        <w:t xml:space="preserve"> through its contribution as an in-kind contrib</w:t>
      </w:r>
      <w:r w:rsidR="00C81EB1">
        <w:rPr>
          <w:sz w:val="20"/>
        </w:rPr>
        <w:t>ution to CCC Shoes &amp; Bags Sp. z</w:t>
      </w:r>
      <w:r w:rsidR="004A337E" w:rsidRPr="004A337E">
        <w:rPr>
          <w:sz w:val="20"/>
        </w:rPr>
        <w:t xml:space="preserve"> </w:t>
      </w:r>
      <w:proofErr w:type="spellStart"/>
      <w:r w:rsidR="004A337E" w:rsidRPr="004A337E">
        <w:rPr>
          <w:sz w:val="20"/>
        </w:rPr>
        <w:t>o.o</w:t>
      </w:r>
      <w:proofErr w:type="spellEnd"/>
      <w:r w:rsidR="004A337E" w:rsidRPr="004A337E">
        <w:rPr>
          <w:sz w:val="20"/>
        </w:rPr>
        <w:t xml:space="preserve"> with its registered office in</w:t>
      </w:r>
      <w:r w:rsidR="00C81EB1">
        <w:rPr>
          <w:sz w:val="20"/>
        </w:rPr>
        <w:t xml:space="preserve"> Warsaw. CCC Shoes &amp; Bags Sp. z</w:t>
      </w:r>
      <w:r w:rsidR="004A337E" w:rsidRPr="004A337E">
        <w:rPr>
          <w:sz w:val="20"/>
        </w:rPr>
        <w:t xml:space="preserve"> </w:t>
      </w:r>
      <w:proofErr w:type="spellStart"/>
      <w:r w:rsidR="004A337E" w:rsidRPr="004A337E">
        <w:rPr>
          <w:sz w:val="20"/>
        </w:rPr>
        <w:t>o.o</w:t>
      </w:r>
      <w:proofErr w:type="spellEnd"/>
      <w:r w:rsidR="004A337E" w:rsidRPr="004A337E">
        <w:rPr>
          <w:sz w:val="20"/>
        </w:rPr>
        <w:t xml:space="preserve"> is </w:t>
      </w:r>
      <w:r w:rsidR="0057714C" w:rsidRPr="004A337E">
        <w:rPr>
          <w:sz w:val="20"/>
        </w:rPr>
        <w:t>the Issuer</w:t>
      </w:r>
      <w:r w:rsidR="0057714C">
        <w:rPr>
          <w:sz w:val="20"/>
        </w:rPr>
        <w:t>’s</w:t>
      </w:r>
      <w:r w:rsidR="0057714C" w:rsidRPr="004A337E">
        <w:rPr>
          <w:sz w:val="20"/>
        </w:rPr>
        <w:t xml:space="preserve"> </w:t>
      </w:r>
      <w:r w:rsidR="0057714C">
        <w:rPr>
          <w:sz w:val="20"/>
        </w:rPr>
        <w:t>subsidiary in which</w:t>
      </w:r>
      <w:r w:rsidR="004A337E" w:rsidRPr="004A337E">
        <w:rPr>
          <w:sz w:val="20"/>
        </w:rPr>
        <w:t xml:space="preserve"> the Company's share is 100% of the share capital.</w:t>
      </w:r>
    </w:p>
    <w:p w:rsidR="006A24B5" w:rsidRPr="004B4CA1" w:rsidRDefault="006A24B5" w:rsidP="006A24B5">
      <w:pPr>
        <w:rPr>
          <w:rFonts w:cs="Arial"/>
          <w:szCs w:val="18"/>
        </w:rPr>
      </w:pPr>
    </w:p>
    <w:p w:rsidR="00C23F51" w:rsidRPr="004B4CA1" w:rsidRDefault="00C23F51" w:rsidP="00275A91">
      <w:pPr>
        <w:pStyle w:val="Nagwek1"/>
      </w:pPr>
      <w:bookmarkStart w:id="59" w:name="_Toc301867634"/>
      <w:bookmarkStart w:id="60" w:name="_Toc325723773"/>
      <w:bookmarkStart w:id="61" w:name="_Toc366511816"/>
      <w:r>
        <w:t>Statement of the Management Board of the dominant company of CCC S.A. Capital Group.</w:t>
      </w:r>
      <w:bookmarkEnd w:id="59"/>
      <w:bookmarkEnd w:id="60"/>
      <w:bookmarkEnd w:id="61"/>
    </w:p>
    <w:p w:rsidR="00C23F51" w:rsidRPr="004B4CA1" w:rsidRDefault="00C23F51" w:rsidP="00C23F51">
      <w:pPr>
        <w:pStyle w:val="dAREK1"/>
      </w:pPr>
      <w:r>
        <w:t xml:space="preserve">According to § 90 section 1 item 4, 5 of the Regulation of the Minister of Finance of 19.02.2009 on current and periodic information published by issuers of securities and conditions for recognising as equivalent information required by the provision of law of a non-member state, the Management Board of the dominant </w:t>
      </w:r>
      <w:r w:rsidR="00C3392F">
        <w:t>entity</w:t>
      </w:r>
      <w:r>
        <w:t xml:space="preserve"> of </w:t>
      </w:r>
      <w:r w:rsidR="00C3392F">
        <w:t xml:space="preserve">the Capital Group </w:t>
      </w:r>
      <w:r>
        <w:t>CCC S.A. states that:</w:t>
      </w:r>
    </w:p>
    <w:p w:rsidR="00C23F51" w:rsidRPr="004B4CA1" w:rsidRDefault="00C23F51" w:rsidP="00C23F51">
      <w:pPr>
        <w:pStyle w:val="dAREK1"/>
      </w:pPr>
      <w:r>
        <w:t xml:space="preserve">- to its best knowledge, the interim </w:t>
      </w:r>
      <w:r w:rsidR="000C233D">
        <w:t>condensed</w:t>
      </w:r>
      <w:r>
        <w:t xml:space="preserve"> consolidated financial statements and comparative data and interim </w:t>
      </w:r>
      <w:r w:rsidR="000C233D">
        <w:t>condensed</w:t>
      </w:r>
      <w:r>
        <w:t xml:space="preserve"> financial statements and comparative data have been prepared in accordance with applicable accounting standards and give a true and fair view of the financial position and financial situation of the Issuer and the Group,</w:t>
      </w:r>
    </w:p>
    <w:p w:rsidR="00C23F51" w:rsidRPr="004B4CA1" w:rsidRDefault="00C23F51" w:rsidP="00C23F51">
      <w:pPr>
        <w:pStyle w:val="dAREK1"/>
      </w:pPr>
      <w:r>
        <w:t>- semi-annual report on the operations of the Issuer</w:t>
      </w:r>
      <w:r w:rsidR="00C3392F">
        <w:t xml:space="preserve">’s </w:t>
      </w:r>
      <w:r w:rsidR="00A1015C">
        <w:t>C</w:t>
      </w:r>
      <w:r w:rsidR="00C3392F">
        <w:t xml:space="preserve">apital </w:t>
      </w:r>
      <w:r w:rsidR="00A1015C">
        <w:t>G</w:t>
      </w:r>
      <w:r w:rsidR="00C3392F">
        <w:t>roup</w:t>
      </w:r>
      <w:r>
        <w:t xml:space="preserve"> gives a true outline of the development and achievements of the Issuer's Capital Group, including a description of the basic hazards and risks,</w:t>
      </w:r>
    </w:p>
    <w:p w:rsidR="002C601E" w:rsidRPr="004B4CA1" w:rsidRDefault="00615FDF" w:rsidP="00C23F51">
      <w:pPr>
        <w:pStyle w:val="dAREK1"/>
        <w:spacing w:after="80"/>
      </w:pPr>
      <w:r>
        <w:t xml:space="preserve">- the entity authorised to audit financial statements auditing the interim </w:t>
      </w:r>
      <w:r w:rsidR="000C233D">
        <w:t>condensed</w:t>
      </w:r>
      <w:r>
        <w:t xml:space="preserve"> consolidated financial statements and the interim </w:t>
      </w:r>
      <w:r w:rsidR="000C233D">
        <w:t>condensed</w:t>
      </w:r>
      <w:r>
        <w:t xml:space="preserve"> financial statements has been selected in accordance with the legal regulations. In addition, the entity and the statutory auditors who reviewed the </w:t>
      </w:r>
      <w:r w:rsidR="00A1015C">
        <w:t xml:space="preserve">interim </w:t>
      </w:r>
      <w:r w:rsidR="000C233D">
        <w:t>condensed</w:t>
      </w:r>
      <w:r w:rsidR="00A1015C">
        <w:t xml:space="preserve"> consolidated </w:t>
      </w:r>
      <w:r>
        <w:t xml:space="preserve">financial statements, the </w:t>
      </w:r>
      <w:r w:rsidR="00821745">
        <w:t xml:space="preserve">interim </w:t>
      </w:r>
      <w:r w:rsidR="000C233D">
        <w:t>condensed</w:t>
      </w:r>
      <w:r>
        <w:t xml:space="preserve"> individual financial statements meet the </w:t>
      </w:r>
      <w:r>
        <w:lastRenderedPageBreak/>
        <w:t xml:space="preserve">conditions for issuing an unbiased and independent opinion on the </w:t>
      </w:r>
      <w:r w:rsidR="000C233D">
        <w:t>condensed</w:t>
      </w:r>
      <w:r>
        <w:t xml:space="preserve"> interim consolidated and individual financial statements in accordance with applicable legal regulations and professional standards.</w:t>
      </w:r>
    </w:p>
    <w:p w:rsidR="002C601E" w:rsidRPr="004B4CA1" w:rsidRDefault="002C601E">
      <w:pPr>
        <w:spacing w:after="200" w:line="276" w:lineRule="auto"/>
        <w:rPr>
          <w:rFonts w:cs="Arial"/>
        </w:rPr>
      </w:pPr>
    </w:p>
    <w:tbl>
      <w:tblPr>
        <w:tblW w:w="9060" w:type="dxa"/>
        <w:jc w:val="center"/>
        <w:tblCellMar>
          <w:left w:w="0" w:type="dxa"/>
          <w:right w:w="0" w:type="dxa"/>
        </w:tblCellMar>
        <w:tblLook w:val="0000"/>
      </w:tblPr>
      <w:tblGrid>
        <w:gridCol w:w="1920"/>
        <w:gridCol w:w="3600"/>
        <w:gridCol w:w="3540"/>
      </w:tblGrid>
      <w:tr w:rsidR="00C23F51" w:rsidRPr="004B4CA1" w:rsidTr="00A51066">
        <w:trPr>
          <w:trHeight w:val="454"/>
          <w:jc w:val="center"/>
        </w:trPr>
        <w:tc>
          <w:tcPr>
            <w:tcW w:w="9060" w:type="dxa"/>
            <w:gridSpan w:val="3"/>
            <w:tcBorders>
              <w:top w:val="single" w:sz="8" w:space="0" w:color="auto"/>
              <w:left w:val="single" w:sz="8" w:space="0" w:color="auto"/>
              <w:bottom w:val="single" w:sz="8" w:space="0" w:color="auto"/>
              <w:right w:val="single" w:sz="8" w:space="0" w:color="000000"/>
            </w:tcBorders>
            <w:tcMar>
              <w:top w:w="17" w:type="dxa"/>
              <w:left w:w="17" w:type="dxa"/>
              <w:bottom w:w="0" w:type="dxa"/>
              <w:right w:w="17" w:type="dxa"/>
            </w:tcMar>
            <w:vAlign w:val="center"/>
          </w:tcPr>
          <w:p w:rsidR="00C23F51" w:rsidRPr="004B4CA1" w:rsidRDefault="00C23F51" w:rsidP="00A51066">
            <w:pPr>
              <w:rPr>
                <w:rFonts w:eastAsia="Arial Unicode MS" w:cs="Arial"/>
                <w:b/>
                <w:bCs/>
                <w:szCs w:val="20"/>
              </w:rPr>
            </w:pPr>
            <w:r>
              <w:rPr>
                <w:b/>
              </w:rPr>
              <w:t>SIGNATURES OF ALL MEMBERS OF THE MANAGEMENT BOARD</w:t>
            </w:r>
          </w:p>
        </w:tc>
      </w:tr>
      <w:tr w:rsidR="00C23F51" w:rsidRPr="004B4CA1" w:rsidTr="00A51066">
        <w:trPr>
          <w:trHeight w:val="454"/>
          <w:jc w:val="center"/>
        </w:trPr>
        <w:tc>
          <w:tcPr>
            <w:tcW w:w="192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eastAsia="Arial Unicode MS" w:cs="Arial"/>
                <w:szCs w:val="20"/>
              </w:rPr>
            </w:pPr>
            <w:r>
              <w:t>Mr</w:t>
            </w:r>
            <w:r w:rsidR="00821745">
              <w:t>.</w:t>
            </w:r>
            <w:r>
              <w:t xml:space="preserve"> Dariusz Miłek</w:t>
            </w:r>
          </w:p>
        </w:tc>
        <w:tc>
          <w:tcPr>
            <w:tcW w:w="3600" w:type="dxa"/>
            <w:tcBorders>
              <w:top w:val="nil"/>
              <w:left w:val="nil"/>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eastAsia="Arial Unicode MS" w:cs="Arial"/>
                <w:szCs w:val="20"/>
              </w:rPr>
            </w:pPr>
            <w:r>
              <w:t>President of the Management Board</w:t>
            </w:r>
          </w:p>
        </w:tc>
        <w:tc>
          <w:tcPr>
            <w:tcW w:w="3540" w:type="dxa"/>
            <w:tcBorders>
              <w:top w:val="nil"/>
              <w:left w:val="nil"/>
              <w:bottom w:val="single" w:sz="4" w:space="0" w:color="auto"/>
              <w:right w:val="single" w:sz="8" w:space="0" w:color="auto"/>
            </w:tcBorders>
            <w:tcMar>
              <w:top w:w="17" w:type="dxa"/>
              <w:left w:w="17" w:type="dxa"/>
              <w:bottom w:w="0" w:type="dxa"/>
              <w:right w:w="17" w:type="dxa"/>
            </w:tcMar>
            <w:vAlign w:val="center"/>
          </w:tcPr>
          <w:p w:rsidR="00C23F51" w:rsidRPr="004B4CA1" w:rsidRDefault="00C23F51" w:rsidP="00A51066">
            <w:pPr>
              <w:rPr>
                <w:rFonts w:eastAsia="Arial Unicode MS" w:cs="Arial"/>
                <w:szCs w:val="20"/>
              </w:rPr>
            </w:pPr>
            <w:r>
              <w:t> </w:t>
            </w:r>
          </w:p>
        </w:tc>
      </w:tr>
      <w:tr w:rsidR="00C23F51" w:rsidRPr="004B4CA1" w:rsidTr="00A51066">
        <w:trPr>
          <w:trHeight w:val="454"/>
          <w:jc w:val="center"/>
        </w:trPr>
        <w:tc>
          <w:tcPr>
            <w:tcW w:w="192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eastAsia="Arial Unicode MS" w:cs="Arial"/>
                <w:szCs w:val="20"/>
              </w:rPr>
            </w:pPr>
            <w:r>
              <w:t>Mr</w:t>
            </w:r>
            <w:r w:rsidR="00821745">
              <w:t>.</w:t>
            </w:r>
            <w:r>
              <w:t xml:space="preserve"> Mariusz Gnych</w:t>
            </w:r>
          </w:p>
        </w:tc>
        <w:tc>
          <w:tcPr>
            <w:tcW w:w="3600" w:type="dxa"/>
            <w:tcBorders>
              <w:top w:val="nil"/>
              <w:left w:val="nil"/>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eastAsia="Arial Unicode MS" w:cs="Arial"/>
                <w:szCs w:val="20"/>
              </w:rPr>
            </w:pPr>
            <w:r>
              <w:t>Vice-President of the Management Board</w:t>
            </w:r>
          </w:p>
        </w:tc>
        <w:tc>
          <w:tcPr>
            <w:tcW w:w="3540" w:type="dxa"/>
            <w:tcBorders>
              <w:top w:val="nil"/>
              <w:left w:val="nil"/>
              <w:bottom w:val="single" w:sz="4" w:space="0" w:color="auto"/>
              <w:right w:val="single" w:sz="8" w:space="0" w:color="auto"/>
            </w:tcBorders>
            <w:tcMar>
              <w:top w:w="17" w:type="dxa"/>
              <w:left w:w="17" w:type="dxa"/>
              <w:bottom w:w="0" w:type="dxa"/>
              <w:right w:w="17" w:type="dxa"/>
            </w:tcMar>
            <w:vAlign w:val="center"/>
          </w:tcPr>
          <w:p w:rsidR="00C23F51" w:rsidRPr="004B4CA1" w:rsidRDefault="00C23F51" w:rsidP="00A51066">
            <w:pPr>
              <w:rPr>
                <w:rFonts w:eastAsia="Arial Unicode MS" w:cs="Arial"/>
                <w:szCs w:val="20"/>
              </w:rPr>
            </w:pPr>
            <w:r>
              <w:t> </w:t>
            </w:r>
          </w:p>
        </w:tc>
      </w:tr>
      <w:tr w:rsidR="00C23F51" w:rsidRPr="004B4CA1" w:rsidTr="00A51066">
        <w:trPr>
          <w:trHeight w:val="454"/>
          <w:jc w:val="center"/>
        </w:trPr>
        <w:tc>
          <w:tcPr>
            <w:tcW w:w="19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cs="Arial"/>
                <w:szCs w:val="20"/>
              </w:rPr>
            </w:pPr>
            <w:r>
              <w:t>Mr</w:t>
            </w:r>
            <w:r w:rsidR="00821745">
              <w:t>.</w:t>
            </w:r>
            <w:r>
              <w:t xml:space="preserve"> Piotr Nowjalis</w:t>
            </w:r>
          </w:p>
        </w:tc>
        <w:tc>
          <w:tcPr>
            <w:tcW w:w="360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cs="Arial"/>
                <w:szCs w:val="20"/>
              </w:rPr>
            </w:pPr>
            <w:r>
              <w:t>Vice-President of the Management Board</w:t>
            </w:r>
          </w:p>
        </w:tc>
        <w:tc>
          <w:tcPr>
            <w:tcW w:w="35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C23F51" w:rsidRPr="004B4CA1" w:rsidRDefault="00C23F51" w:rsidP="00A51066">
            <w:pPr>
              <w:rPr>
                <w:rFonts w:cs="Arial"/>
                <w:szCs w:val="20"/>
              </w:rPr>
            </w:pPr>
          </w:p>
        </w:tc>
      </w:tr>
    </w:tbl>
    <w:p w:rsidR="00C23F51" w:rsidRPr="004B4CA1" w:rsidRDefault="00C23F51" w:rsidP="00C23F51">
      <w:pPr>
        <w:rPr>
          <w:rFonts w:cs="Arial"/>
          <w:i/>
          <w:iCs/>
          <w:szCs w:val="20"/>
        </w:rPr>
      </w:pPr>
      <w:proofErr w:type="spellStart"/>
      <w:r>
        <w:rPr>
          <w:i/>
        </w:rPr>
        <w:t>Polkowice</w:t>
      </w:r>
      <w:proofErr w:type="spellEnd"/>
      <w:r>
        <w:rPr>
          <w:i/>
        </w:rPr>
        <w:t xml:space="preserve">, 28 August </w:t>
      </w:r>
      <w:r w:rsidR="006426A9">
        <w:rPr>
          <w:i/>
        </w:rPr>
        <w:t>2014</w:t>
      </w:r>
    </w:p>
    <w:sectPr w:rsidR="00C23F51" w:rsidRPr="004B4CA1" w:rsidSect="00205F76">
      <w:headerReference w:type="default" r:id="rId12"/>
      <w:footerReference w:type="default" r:id="rId13"/>
      <w:pgSz w:w="11906" w:h="16838"/>
      <w:pgMar w:top="1417" w:right="1133"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51" w:rsidRDefault="00426151" w:rsidP="00232444">
      <w:r>
        <w:separator/>
      </w:r>
    </w:p>
  </w:endnote>
  <w:endnote w:type="continuationSeparator" w:id="0">
    <w:p w:rsidR="00426151" w:rsidRDefault="00426151" w:rsidP="0023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3799"/>
      <w:docPartObj>
        <w:docPartGallery w:val="Page Numbers (Bottom of Page)"/>
        <w:docPartUnique/>
      </w:docPartObj>
    </w:sdtPr>
    <w:sdtContent>
      <w:p w:rsidR="007B4B08" w:rsidRDefault="007B4B08">
        <w:pPr>
          <w:pStyle w:val="Stopka"/>
          <w:jc w:val="right"/>
        </w:pPr>
        <w:fldSimple w:instr=" PAGE   \* MERGEFORMAT ">
          <w:r w:rsidR="00096761">
            <w:rPr>
              <w:noProof/>
            </w:rPr>
            <w:t>3</w:t>
          </w:r>
        </w:fldSimple>
      </w:p>
    </w:sdtContent>
  </w:sdt>
  <w:p w:rsidR="007B4B08" w:rsidRDefault="007B4B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51" w:rsidRDefault="00426151" w:rsidP="00232444">
      <w:r>
        <w:separator/>
      </w:r>
    </w:p>
  </w:footnote>
  <w:footnote w:type="continuationSeparator" w:id="0">
    <w:p w:rsidR="00426151" w:rsidRDefault="00426151" w:rsidP="00232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08" w:rsidRDefault="007B4B08" w:rsidP="00267062">
    <w:pPr>
      <w:pStyle w:val="Nagwek3"/>
      <w:pBdr>
        <w:bottom w:val="single" w:sz="12" w:space="0" w:color="auto"/>
      </w:pBdr>
      <w:jc w:val="both"/>
      <w:rPr>
        <w:i/>
        <w:iCs/>
      </w:rPr>
    </w:pPr>
    <w:r w:rsidRPr="000418D6">
      <w:rPr>
        <w:noProof/>
      </w:rPr>
      <w:pict>
        <v:rect id="_x0000_s2049" style="position:absolute;left:0;text-align:left;margin-left:15.35pt;margin-top:-5.4pt;width:395.65pt;height:19.5pt;z-index:251660288" stroked="f">
          <v:textbox style="mso-next-textbox:#_x0000_s2049">
            <w:txbxContent>
              <w:p w:rsidR="007B4B08" w:rsidRDefault="007B4B08" w:rsidP="005C4A1F">
                <w:pPr>
                  <w:jc w:val="center"/>
                  <w:rPr>
                    <w:rFonts w:cs="Arial"/>
                    <w:b/>
                    <w:i/>
                    <w:szCs w:val="20"/>
                  </w:rPr>
                </w:pPr>
                <w:r>
                  <w:rPr>
                    <w:b/>
                    <w:i/>
                  </w:rPr>
                  <w:t>Interim report on the activities of the Capital Group CCC S.A. and CCC S.A.</w:t>
                </w:r>
              </w:p>
            </w:txbxContent>
          </v:textbox>
        </v:rect>
      </w:pict>
    </w:r>
  </w:p>
  <w:p w:rsidR="007B4B08" w:rsidRDefault="007B4B0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2C90"/>
    <w:multiLevelType w:val="hybridMultilevel"/>
    <w:tmpl w:val="941EE7AE"/>
    <w:lvl w:ilvl="0" w:tplc="AB5C7474">
      <w:start w:val="1"/>
      <w:numFmt w:val="lowerLetter"/>
      <w:lvlText w:val="%1)"/>
      <w:lvlJc w:val="left"/>
      <w:pPr>
        <w:tabs>
          <w:tab w:val="num" w:pos="774"/>
        </w:tabs>
        <w:ind w:left="774" w:hanging="360"/>
      </w:pPr>
      <w:rPr>
        <w:rFonts w:hint="default"/>
      </w:rPr>
    </w:lvl>
    <w:lvl w:ilvl="1" w:tplc="04150019" w:tentative="1">
      <w:start w:val="1"/>
      <w:numFmt w:val="lowerLetter"/>
      <w:lvlText w:val="%2."/>
      <w:lvlJc w:val="left"/>
      <w:pPr>
        <w:tabs>
          <w:tab w:val="num" w:pos="65"/>
        </w:tabs>
        <w:ind w:left="65" w:hanging="360"/>
      </w:pPr>
    </w:lvl>
    <w:lvl w:ilvl="2" w:tplc="0415001B" w:tentative="1">
      <w:start w:val="1"/>
      <w:numFmt w:val="lowerRoman"/>
      <w:lvlText w:val="%3."/>
      <w:lvlJc w:val="right"/>
      <w:pPr>
        <w:tabs>
          <w:tab w:val="num" w:pos="785"/>
        </w:tabs>
        <w:ind w:left="785" w:hanging="180"/>
      </w:pPr>
    </w:lvl>
    <w:lvl w:ilvl="3" w:tplc="0415000F" w:tentative="1">
      <w:start w:val="1"/>
      <w:numFmt w:val="decimal"/>
      <w:lvlText w:val="%4."/>
      <w:lvlJc w:val="left"/>
      <w:pPr>
        <w:tabs>
          <w:tab w:val="num" w:pos="1505"/>
        </w:tabs>
        <w:ind w:left="1505" w:hanging="360"/>
      </w:pPr>
    </w:lvl>
    <w:lvl w:ilvl="4" w:tplc="04150019" w:tentative="1">
      <w:start w:val="1"/>
      <w:numFmt w:val="lowerLetter"/>
      <w:lvlText w:val="%5."/>
      <w:lvlJc w:val="left"/>
      <w:pPr>
        <w:tabs>
          <w:tab w:val="num" w:pos="2225"/>
        </w:tabs>
        <w:ind w:left="2225" w:hanging="360"/>
      </w:pPr>
    </w:lvl>
    <w:lvl w:ilvl="5" w:tplc="0415001B" w:tentative="1">
      <w:start w:val="1"/>
      <w:numFmt w:val="lowerRoman"/>
      <w:lvlText w:val="%6."/>
      <w:lvlJc w:val="right"/>
      <w:pPr>
        <w:tabs>
          <w:tab w:val="num" w:pos="2945"/>
        </w:tabs>
        <w:ind w:left="2945" w:hanging="180"/>
      </w:pPr>
    </w:lvl>
    <w:lvl w:ilvl="6" w:tplc="0415000F" w:tentative="1">
      <w:start w:val="1"/>
      <w:numFmt w:val="decimal"/>
      <w:lvlText w:val="%7."/>
      <w:lvlJc w:val="left"/>
      <w:pPr>
        <w:tabs>
          <w:tab w:val="num" w:pos="3665"/>
        </w:tabs>
        <w:ind w:left="3665" w:hanging="360"/>
      </w:pPr>
    </w:lvl>
    <w:lvl w:ilvl="7" w:tplc="04150019" w:tentative="1">
      <w:start w:val="1"/>
      <w:numFmt w:val="lowerLetter"/>
      <w:lvlText w:val="%8."/>
      <w:lvlJc w:val="left"/>
      <w:pPr>
        <w:tabs>
          <w:tab w:val="num" w:pos="4385"/>
        </w:tabs>
        <w:ind w:left="4385" w:hanging="360"/>
      </w:pPr>
    </w:lvl>
    <w:lvl w:ilvl="8" w:tplc="0415001B" w:tentative="1">
      <w:start w:val="1"/>
      <w:numFmt w:val="lowerRoman"/>
      <w:lvlText w:val="%9."/>
      <w:lvlJc w:val="right"/>
      <w:pPr>
        <w:tabs>
          <w:tab w:val="num" w:pos="5105"/>
        </w:tabs>
        <w:ind w:left="5105" w:hanging="180"/>
      </w:pPr>
    </w:lvl>
  </w:abstractNum>
  <w:abstractNum w:abstractNumId="1">
    <w:nsid w:val="1CAE6E57"/>
    <w:multiLevelType w:val="hybridMultilevel"/>
    <w:tmpl w:val="B50E8CB6"/>
    <w:lvl w:ilvl="0" w:tplc="DAC8C5B8">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D172A9B"/>
    <w:multiLevelType w:val="hybridMultilevel"/>
    <w:tmpl w:val="9056C31A"/>
    <w:lvl w:ilvl="0" w:tplc="04150019">
      <w:start w:val="1"/>
      <w:numFmt w:val="bullet"/>
      <w:lvlText w:val="-"/>
      <w:lvlJc w:val="left"/>
      <w:pPr>
        <w:ind w:left="1077" w:hanging="360"/>
      </w:pPr>
      <w:rPr>
        <w:rFonts w:ascii="Times New Roman" w:eastAsia="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nsid w:val="2AC32414"/>
    <w:multiLevelType w:val="hybridMultilevel"/>
    <w:tmpl w:val="1ECE214A"/>
    <w:lvl w:ilvl="0" w:tplc="84CE4C56">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4AC7725"/>
    <w:multiLevelType w:val="hybridMultilevel"/>
    <w:tmpl w:val="2534AD6E"/>
    <w:lvl w:ilvl="0" w:tplc="1B8C4366">
      <w:start w:val="1"/>
      <w:numFmt w:val="bullet"/>
      <w:lvlText w:val="-"/>
      <w:lvlJc w:val="left"/>
      <w:pPr>
        <w:tabs>
          <w:tab w:val="num" w:pos="1069"/>
        </w:tabs>
        <w:ind w:left="1069" w:hanging="360"/>
      </w:pPr>
      <w:rPr>
        <w:rFonts w:hAnsi="Courier New" w:hint="default"/>
      </w:rPr>
    </w:lvl>
    <w:lvl w:ilvl="1" w:tplc="F5B0EC56">
      <w:start w:val="1"/>
      <w:numFmt w:val="lowerLetter"/>
      <w:lvlText w:val="%2."/>
      <w:lvlJc w:val="left"/>
      <w:pPr>
        <w:tabs>
          <w:tab w:val="num" w:pos="360"/>
        </w:tabs>
        <w:ind w:left="360" w:hanging="360"/>
      </w:pPr>
    </w:lvl>
    <w:lvl w:ilvl="2" w:tplc="318C40DC">
      <w:start w:val="1"/>
      <w:numFmt w:val="lowerRoman"/>
      <w:lvlText w:val="%3."/>
      <w:lvlJc w:val="right"/>
      <w:pPr>
        <w:tabs>
          <w:tab w:val="num" w:pos="1080"/>
        </w:tabs>
        <w:ind w:left="1080" w:hanging="180"/>
      </w:pPr>
    </w:lvl>
    <w:lvl w:ilvl="3" w:tplc="C71E7F66">
      <w:start w:val="1"/>
      <w:numFmt w:val="bullet"/>
      <w:lvlText w:val="-"/>
      <w:lvlJc w:val="left"/>
      <w:pPr>
        <w:tabs>
          <w:tab w:val="num" w:pos="1800"/>
        </w:tabs>
        <w:ind w:left="1800" w:hanging="360"/>
      </w:pPr>
      <w:rPr>
        <w:rFonts w:hAnsi="Courier New" w:hint="default"/>
      </w:rPr>
    </w:lvl>
    <w:lvl w:ilvl="4" w:tplc="E4FEA4BE" w:tentative="1">
      <w:start w:val="1"/>
      <w:numFmt w:val="lowerLetter"/>
      <w:lvlText w:val="%5."/>
      <w:lvlJc w:val="left"/>
      <w:pPr>
        <w:tabs>
          <w:tab w:val="num" w:pos="2520"/>
        </w:tabs>
        <w:ind w:left="2520" w:hanging="360"/>
      </w:pPr>
    </w:lvl>
    <w:lvl w:ilvl="5" w:tplc="7B886C30" w:tentative="1">
      <w:start w:val="1"/>
      <w:numFmt w:val="lowerRoman"/>
      <w:lvlText w:val="%6."/>
      <w:lvlJc w:val="right"/>
      <w:pPr>
        <w:tabs>
          <w:tab w:val="num" w:pos="3240"/>
        </w:tabs>
        <w:ind w:left="3240" w:hanging="180"/>
      </w:pPr>
    </w:lvl>
    <w:lvl w:ilvl="6" w:tplc="E3221872" w:tentative="1">
      <w:start w:val="1"/>
      <w:numFmt w:val="decimal"/>
      <w:lvlText w:val="%7."/>
      <w:lvlJc w:val="left"/>
      <w:pPr>
        <w:tabs>
          <w:tab w:val="num" w:pos="3960"/>
        </w:tabs>
        <w:ind w:left="3960" w:hanging="360"/>
      </w:pPr>
    </w:lvl>
    <w:lvl w:ilvl="7" w:tplc="34EC94E4" w:tentative="1">
      <w:start w:val="1"/>
      <w:numFmt w:val="lowerLetter"/>
      <w:lvlText w:val="%8."/>
      <w:lvlJc w:val="left"/>
      <w:pPr>
        <w:tabs>
          <w:tab w:val="num" w:pos="4680"/>
        </w:tabs>
        <w:ind w:left="4680" w:hanging="360"/>
      </w:pPr>
    </w:lvl>
    <w:lvl w:ilvl="8" w:tplc="5F9A1544" w:tentative="1">
      <w:start w:val="1"/>
      <w:numFmt w:val="lowerRoman"/>
      <w:lvlText w:val="%9."/>
      <w:lvlJc w:val="right"/>
      <w:pPr>
        <w:tabs>
          <w:tab w:val="num" w:pos="5400"/>
        </w:tabs>
        <w:ind w:left="5400" w:hanging="180"/>
      </w:pPr>
    </w:lvl>
  </w:abstractNum>
  <w:abstractNum w:abstractNumId="5">
    <w:nsid w:val="35B340C1"/>
    <w:multiLevelType w:val="hybridMultilevel"/>
    <w:tmpl w:val="F76A6312"/>
    <w:lvl w:ilvl="0" w:tplc="04150019">
      <w:start w:val="1"/>
      <w:numFmt w:val="bullet"/>
      <w:lvlText w:val="-"/>
      <w:lvlJc w:val="left"/>
      <w:pPr>
        <w:ind w:left="1077" w:hanging="360"/>
      </w:pPr>
      <w:rPr>
        <w:rFonts w:ascii="Times New Roman" w:eastAsia="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nsid w:val="3B172A02"/>
    <w:multiLevelType w:val="hybridMultilevel"/>
    <w:tmpl w:val="36166546"/>
    <w:lvl w:ilvl="0" w:tplc="06F08D72">
      <w:start w:val="1"/>
      <w:numFmt w:val="decimal"/>
      <w:lvlText w:val="%1."/>
      <w:lvlJc w:val="left"/>
      <w:pPr>
        <w:tabs>
          <w:tab w:val="num" w:pos="720"/>
        </w:tabs>
        <w:ind w:left="720" w:hanging="360"/>
      </w:pPr>
    </w:lvl>
    <w:lvl w:ilvl="1" w:tplc="04150019">
      <w:start w:val="1"/>
      <w:numFmt w:val="bullet"/>
      <w:lvlText w:val="-"/>
      <w:lvlJc w:val="left"/>
      <w:pPr>
        <w:tabs>
          <w:tab w:val="num" w:pos="720"/>
        </w:tabs>
        <w:ind w:left="720" w:hanging="363"/>
      </w:pPr>
      <w:rPr>
        <w:rFonts w:ascii="Times New Roman" w:eastAsia="Times New Roman" w:hAnsi="Times New Roman" w:cs="Times New Roman" w:hint="default"/>
      </w:rPr>
    </w:lvl>
    <w:lvl w:ilvl="2" w:tplc="0415001B">
      <w:start w:val="1"/>
      <w:numFmt w:val="decimal"/>
      <w:lvlText w:val="%3."/>
      <w:lvlJc w:val="left"/>
      <w:pPr>
        <w:tabs>
          <w:tab w:val="num" w:pos="2340"/>
        </w:tabs>
        <w:ind w:left="2340" w:hanging="360"/>
      </w:pPr>
    </w:lvl>
    <w:lvl w:ilvl="3" w:tplc="0415000F">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9654607"/>
    <w:multiLevelType w:val="hybridMultilevel"/>
    <w:tmpl w:val="81CAAABC"/>
    <w:lvl w:ilvl="0" w:tplc="04150003">
      <w:start w:val="1"/>
      <w:numFmt w:val="bullet"/>
      <w:lvlText w:val="o"/>
      <w:lvlJc w:val="left"/>
      <w:pPr>
        <w:ind w:left="1077" w:hanging="360"/>
      </w:pPr>
      <w:rPr>
        <w:rFonts w:ascii="Courier New" w:hAnsi="Courier New" w:cs="Courier New"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nsid w:val="5D59756B"/>
    <w:multiLevelType w:val="hybridMultilevel"/>
    <w:tmpl w:val="2534AD6E"/>
    <w:lvl w:ilvl="0" w:tplc="6D46859E">
      <w:start w:val="1"/>
      <w:numFmt w:val="bullet"/>
      <w:lvlText w:val="-"/>
      <w:lvlJc w:val="left"/>
      <w:pPr>
        <w:tabs>
          <w:tab w:val="num" w:pos="1069"/>
        </w:tabs>
        <w:ind w:left="1069" w:hanging="360"/>
      </w:pPr>
      <w:rPr>
        <w:rFonts w:hAnsi="Courier New" w:hint="default"/>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9">
    <w:nsid w:val="681961B5"/>
    <w:multiLevelType w:val="hybridMultilevel"/>
    <w:tmpl w:val="3E3A9EB0"/>
    <w:lvl w:ilvl="0" w:tplc="9F98FE66">
      <w:start w:val="1"/>
      <w:numFmt w:val="bullet"/>
      <w:lvlText w:val="-"/>
      <w:lvlJc w:val="left"/>
      <w:pPr>
        <w:ind w:left="720" w:hanging="360"/>
      </w:pPr>
      <w:rPr>
        <w:rFonts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D762136"/>
    <w:multiLevelType w:val="hybridMultilevel"/>
    <w:tmpl w:val="BD7CEAE4"/>
    <w:lvl w:ilvl="0" w:tplc="04150005">
      <w:start w:val="1"/>
      <w:numFmt w:val="decimal"/>
      <w:lvlText w:val="%1."/>
      <w:lvlJc w:val="left"/>
      <w:pPr>
        <w:tabs>
          <w:tab w:val="num" w:pos="720"/>
        </w:tabs>
        <w:ind w:left="720" w:hanging="360"/>
      </w:pPr>
    </w:lvl>
    <w:lvl w:ilvl="1" w:tplc="04150003">
      <w:start w:val="1"/>
      <w:numFmt w:val="bullet"/>
      <w:lvlText w:val="-"/>
      <w:lvlJc w:val="left"/>
      <w:pPr>
        <w:tabs>
          <w:tab w:val="num" w:pos="1443"/>
        </w:tabs>
        <w:ind w:left="1443" w:hanging="363"/>
      </w:pPr>
      <w:rPr>
        <w:rFonts w:ascii="Times New Roman" w:eastAsia="Times New Roman" w:hAnsi="Times New Roman" w:cs="Times New Roman"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
    <w:nsid w:val="6E1D0F9D"/>
    <w:multiLevelType w:val="hybridMultilevel"/>
    <w:tmpl w:val="58589860"/>
    <w:lvl w:ilvl="0" w:tplc="04150019">
      <w:start w:val="1"/>
      <w:numFmt w:val="bullet"/>
      <w:lvlText w:val="-"/>
      <w:lvlJc w:val="left"/>
      <w:pPr>
        <w:ind w:left="1077" w:hanging="360"/>
      </w:pPr>
      <w:rPr>
        <w:rFonts w:ascii="Times New Roman" w:eastAsia="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nsid w:val="6E237F54"/>
    <w:multiLevelType w:val="hybridMultilevel"/>
    <w:tmpl w:val="F3EC405A"/>
    <w:lvl w:ilvl="0" w:tplc="1528E08E">
      <w:start w:val="2"/>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2B4D1D"/>
    <w:multiLevelType w:val="hybridMultilevel"/>
    <w:tmpl w:val="3B8CB480"/>
    <w:lvl w:ilvl="0" w:tplc="04150005">
      <w:start w:val="1"/>
      <w:numFmt w:val="lowerLetter"/>
      <w:lvlText w:val="%1)"/>
      <w:lvlJc w:val="left"/>
      <w:pPr>
        <w:tabs>
          <w:tab w:val="num" w:pos="720"/>
        </w:tabs>
        <w:ind w:left="720" w:hanging="360"/>
      </w:p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4">
    <w:nsid w:val="724649E4"/>
    <w:multiLevelType w:val="hybridMultilevel"/>
    <w:tmpl w:val="F0EAF514"/>
    <w:lvl w:ilvl="0" w:tplc="04150005">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74C91577"/>
    <w:multiLevelType w:val="hybridMultilevel"/>
    <w:tmpl w:val="79C4BE96"/>
    <w:lvl w:ilvl="0" w:tplc="0A9451A6">
      <w:start w:val="1"/>
      <w:numFmt w:val="decimal"/>
      <w:pStyle w:val="Nagwek1"/>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DB30775"/>
    <w:multiLevelType w:val="hybridMultilevel"/>
    <w:tmpl w:val="8B027526"/>
    <w:lvl w:ilvl="0" w:tplc="6D46859E">
      <w:start w:val="1"/>
      <w:numFmt w:val="bullet"/>
      <w:lvlText w:val="-"/>
      <w:lvlJc w:val="left"/>
      <w:pPr>
        <w:ind w:left="1077" w:hanging="360"/>
      </w:pPr>
      <w:rPr>
        <w:rFonts w:hAnsi="Courier New"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15"/>
  </w:num>
  <w:num w:numId="2">
    <w:abstractNumId w:val="15"/>
  </w:num>
  <w:num w:numId="3">
    <w:abstractNumId w:val="15"/>
  </w:num>
  <w:num w:numId="4">
    <w:abstractNumId w:val="0"/>
  </w:num>
  <w:num w:numId="5">
    <w:abstractNumId w:val="8"/>
  </w:num>
  <w:num w:numId="6">
    <w:abstractNumId w:val="3"/>
  </w:num>
  <w:num w:numId="7">
    <w:abstractNumId w:val="12"/>
  </w:num>
  <w:num w:numId="8">
    <w:abstractNumId w:val="4"/>
  </w:num>
  <w:num w:numId="9">
    <w:abstractNumId w:val="1"/>
  </w:num>
  <w:num w:numId="10">
    <w:abstractNumId w:val="14"/>
  </w:num>
  <w:num w:numId="11">
    <w:abstractNumId w:val="13"/>
  </w:num>
  <w:num w:numId="12">
    <w:abstractNumId w:val="6"/>
  </w:num>
  <w:num w:numId="13">
    <w:abstractNumId w:val="10"/>
  </w:num>
  <w:num w:numId="14">
    <w:abstractNumId w:val="9"/>
  </w:num>
  <w:num w:numId="15">
    <w:abstractNumId w:val="11"/>
  </w:num>
  <w:num w:numId="16">
    <w:abstractNumId w:val="16"/>
  </w:num>
  <w:num w:numId="17">
    <w:abstractNumId w:val="5"/>
  </w:num>
  <w:num w:numId="18">
    <w:abstractNumId w:val="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00"/>
  <w:displayHorizontalDrawingGridEvery w:val="2"/>
  <w:characterSpacingControl w:val="doNotCompress"/>
  <w:hdrShapeDefaults>
    <o:shapedefaults v:ext="edit" spidmax="6146">
      <o:colormenu v:ext="edit" strokecolor="none"/>
    </o:shapedefaults>
    <o:shapelayout v:ext="edit">
      <o:idmap v:ext="edit" data="2"/>
    </o:shapelayout>
  </w:hdrShapeDefaults>
  <w:footnotePr>
    <w:footnote w:id="-1"/>
    <w:footnote w:id="0"/>
  </w:footnotePr>
  <w:endnotePr>
    <w:endnote w:id="-1"/>
    <w:endnote w:id="0"/>
  </w:endnotePr>
  <w:compat/>
  <w:rsids>
    <w:rsidRoot w:val="004C71B6"/>
    <w:rsid w:val="00007AEF"/>
    <w:rsid w:val="00021AE7"/>
    <w:rsid w:val="00024AE8"/>
    <w:rsid w:val="00035108"/>
    <w:rsid w:val="000418D6"/>
    <w:rsid w:val="000621C4"/>
    <w:rsid w:val="00064163"/>
    <w:rsid w:val="00090A22"/>
    <w:rsid w:val="000911F8"/>
    <w:rsid w:val="00096761"/>
    <w:rsid w:val="000A7A9F"/>
    <w:rsid w:val="000B085E"/>
    <w:rsid w:val="000C1B36"/>
    <w:rsid w:val="000C1ECB"/>
    <w:rsid w:val="000C233D"/>
    <w:rsid w:val="000C3AD0"/>
    <w:rsid w:val="000C45B5"/>
    <w:rsid w:val="000C5987"/>
    <w:rsid w:val="000C5F9A"/>
    <w:rsid w:val="000D00D3"/>
    <w:rsid w:val="000D3E9F"/>
    <w:rsid w:val="000D7107"/>
    <w:rsid w:val="000E27C3"/>
    <w:rsid w:val="000F16E2"/>
    <w:rsid w:val="000F20C2"/>
    <w:rsid w:val="000F549B"/>
    <w:rsid w:val="001010D9"/>
    <w:rsid w:val="00101246"/>
    <w:rsid w:val="001074F2"/>
    <w:rsid w:val="00110C3B"/>
    <w:rsid w:val="001162CE"/>
    <w:rsid w:val="00117CF5"/>
    <w:rsid w:val="00132846"/>
    <w:rsid w:val="00136966"/>
    <w:rsid w:val="001432D3"/>
    <w:rsid w:val="0014740D"/>
    <w:rsid w:val="00153D40"/>
    <w:rsid w:val="0016048F"/>
    <w:rsid w:val="00161946"/>
    <w:rsid w:val="0016562F"/>
    <w:rsid w:val="00171903"/>
    <w:rsid w:val="001738AC"/>
    <w:rsid w:val="001756DE"/>
    <w:rsid w:val="001777B8"/>
    <w:rsid w:val="001908DA"/>
    <w:rsid w:val="001A105A"/>
    <w:rsid w:val="001A49F6"/>
    <w:rsid w:val="001B1412"/>
    <w:rsid w:val="001C2A3C"/>
    <w:rsid w:val="001C4C94"/>
    <w:rsid w:val="001D54D1"/>
    <w:rsid w:val="001E170A"/>
    <w:rsid w:val="001E4786"/>
    <w:rsid w:val="001F262B"/>
    <w:rsid w:val="001F56AF"/>
    <w:rsid w:val="001F7808"/>
    <w:rsid w:val="00200512"/>
    <w:rsid w:val="00202FFB"/>
    <w:rsid w:val="00205F76"/>
    <w:rsid w:val="00211171"/>
    <w:rsid w:val="002120BB"/>
    <w:rsid w:val="00214362"/>
    <w:rsid w:val="00214FD6"/>
    <w:rsid w:val="002211F3"/>
    <w:rsid w:val="00223F0F"/>
    <w:rsid w:val="0023181C"/>
    <w:rsid w:val="00232444"/>
    <w:rsid w:val="00236BAA"/>
    <w:rsid w:val="00236E79"/>
    <w:rsid w:val="0023758B"/>
    <w:rsid w:val="00242D47"/>
    <w:rsid w:val="00243C1C"/>
    <w:rsid w:val="00246F43"/>
    <w:rsid w:val="0025250D"/>
    <w:rsid w:val="00253FCB"/>
    <w:rsid w:val="00267062"/>
    <w:rsid w:val="00271073"/>
    <w:rsid w:val="00275A91"/>
    <w:rsid w:val="002824BA"/>
    <w:rsid w:val="00285A7C"/>
    <w:rsid w:val="00295DBB"/>
    <w:rsid w:val="002A4F37"/>
    <w:rsid w:val="002A6D93"/>
    <w:rsid w:val="002B0624"/>
    <w:rsid w:val="002B672B"/>
    <w:rsid w:val="002C0CAF"/>
    <w:rsid w:val="002C601E"/>
    <w:rsid w:val="002C6C68"/>
    <w:rsid w:val="002C6DAA"/>
    <w:rsid w:val="002D05F6"/>
    <w:rsid w:val="002D33FB"/>
    <w:rsid w:val="002E11E9"/>
    <w:rsid w:val="002E301A"/>
    <w:rsid w:val="002E34E7"/>
    <w:rsid w:val="002E419E"/>
    <w:rsid w:val="002E51CD"/>
    <w:rsid w:val="002F05D2"/>
    <w:rsid w:val="002F70EA"/>
    <w:rsid w:val="00300996"/>
    <w:rsid w:val="003058B3"/>
    <w:rsid w:val="00305EEE"/>
    <w:rsid w:val="00311851"/>
    <w:rsid w:val="00315E75"/>
    <w:rsid w:val="003220E3"/>
    <w:rsid w:val="00322293"/>
    <w:rsid w:val="00322BD7"/>
    <w:rsid w:val="00331772"/>
    <w:rsid w:val="00331A84"/>
    <w:rsid w:val="00337839"/>
    <w:rsid w:val="00340622"/>
    <w:rsid w:val="00347C24"/>
    <w:rsid w:val="00350CC2"/>
    <w:rsid w:val="00355E26"/>
    <w:rsid w:val="0036419C"/>
    <w:rsid w:val="0036505C"/>
    <w:rsid w:val="00377D4A"/>
    <w:rsid w:val="00382AD9"/>
    <w:rsid w:val="00387C35"/>
    <w:rsid w:val="003906AB"/>
    <w:rsid w:val="00390936"/>
    <w:rsid w:val="003A4D2B"/>
    <w:rsid w:val="003A675F"/>
    <w:rsid w:val="003B12E8"/>
    <w:rsid w:val="003B4DA5"/>
    <w:rsid w:val="003C1650"/>
    <w:rsid w:val="003C18E6"/>
    <w:rsid w:val="003C3979"/>
    <w:rsid w:val="003D6B70"/>
    <w:rsid w:val="003F0CE5"/>
    <w:rsid w:val="00400D30"/>
    <w:rsid w:val="004023EC"/>
    <w:rsid w:val="00405B3C"/>
    <w:rsid w:val="004064EC"/>
    <w:rsid w:val="00411764"/>
    <w:rsid w:val="00421BAF"/>
    <w:rsid w:val="00421D22"/>
    <w:rsid w:val="00426151"/>
    <w:rsid w:val="00450757"/>
    <w:rsid w:val="00456D9B"/>
    <w:rsid w:val="0046320E"/>
    <w:rsid w:val="00463D79"/>
    <w:rsid w:val="004732B5"/>
    <w:rsid w:val="0047378E"/>
    <w:rsid w:val="00475090"/>
    <w:rsid w:val="004758A9"/>
    <w:rsid w:val="00477287"/>
    <w:rsid w:val="004834C3"/>
    <w:rsid w:val="004A337E"/>
    <w:rsid w:val="004B4CA1"/>
    <w:rsid w:val="004B62D6"/>
    <w:rsid w:val="004B6E85"/>
    <w:rsid w:val="004B7B47"/>
    <w:rsid w:val="004C392B"/>
    <w:rsid w:val="004C71B6"/>
    <w:rsid w:val="004E00D2"/>
    <w:rsid w:val="004E341C"/>
    <w:rsid w:val="004F6828"/>
    <w:rsid w:val="004F7DD3"/>
    <w:rsid w:val="005001FA"/>
    <w:rsid w:val="00502F59"/>
    <w:rsid w:val="00505379"/>
    <w:rsid w:val="00506923"/>
    <w:rsid w:val="00510849"/>
    <w:rsid w:val="0051581B"/>
    <w:rsid w:val="00522428"/>
    <w:rsid w:val="00524D5C"/>
    <w:rsid w:val="00533E64"/>
    <w:rsid w:val="0054131E"/>
    <w:rsid w:val="00545512"/>
    <w:rsid w:val="00550B6A"/>
    <w:rsid w:val="005512A6"/>
    <w:rsid w:val="00553378"/>
    <w:rsid w:val="00553ED7"/>
    <w:rsid w:val="005556E0"/>
    <w:rsid w:val="00555D32"/>
    <w:rsid w:val="0055637C"/>
    <w:rsid w:val="00562D70"/>
    <w:rsid w:val="00575FB3"/>
    <w:rsid w:val="005760DB"/>
    <w:rsid w:val="00576FD5"/>
    <w:rsid w:val="0057714C"/>
    <w:rsid w:val="005829DD"/>
    <w:rsid w:val="00582F80"/>
    <w:rsid w:val="00586029"/>
    <w:rsid w:val="00586373"/>
    <w:rsid w:val="00587009"/>
    <w:rsid w:val="005A2CB3"/>
    <w:rsid w:val="005A361B"/>
    <w:rsid w:val="005C4A1F"/>
    <w:rsid w:val="005C5E1E"/>
    <w:rsid w:val="005D0456"/>
    <w:rsid w:val="005D0779"/>
    <w:rsid w:val="005D2AA2"/>
    <w:rsid w:val="005D76C0"/>
    <w:rsid w:val="00605493"/>
    <w:rsid w:val="00615FDF"/>
    <w:rsid w:val="006426A9"/>
    <w:rsid w:val="00655F54"/>
    <w:rsid w:val="00656493"/>
    <w:rsid w:val="00657F43"/>
    <w:rsid w:val="00663D3F"/>
    <w:rsid w:val="006712FF"/>
    <w:rsid w:val="006727E3"/>
    <w:rsid w:val="00675EED"/>
    <w:rsid w:val="00676AE3"/>
    <w:rsid w:val="00685471"/>
    <w:rsid w:val="006854B6"/>
    <w:rsid w:val="00686EE7"/>
    <w:rsid w:val="00696380"/>
    <w:rsid w:val="00696A2B"/>
    <w:rsid w:val="00697008"/>
    <w:rsid w:val="006A24B5"/>
    <w:rsid w:val="006A462F"/>
    <w:rsid w:val="006B1D82"/>
    <w:rsid w:val="006B3420"/>
    <w:rsid w:val="006B54DB"/>
    <w:rsid w:val="006C088D"/>
    <w:rsid w:val="006C340F"/>
    <w:rsid w:val="006D12F5"/>
    <w:rsid w:val="006D259C"/>
    <w:rsid w:val="006D3F97"/>
    <w:rsid w:val="006D601F"/>
    <w:rsid w:val="006D728E"/>
    <w:rsid w:val="006E4264"/>
    <w:rsid w:val="006E4737"/>
    <w:rsid w:val="006E6BA9"/>
    <w:rsid w:val="006F0315"/>
    <w:rsid w:val="006F0388"/>
    <w:rsid w:val="006F359E"/>
    <w:rsid w:val="006F3F42"/>
    <w:rsid w:val="006F4E5F"/>
    <w:rsid w:val="006F6AD7"/>
    <w:rsid w:val="007059BD"/>
    <w:rsid w:val="00705BD4"/>
    <w:rsid w:val="00715CFB"/>
    <w:rsid w:val="00716D52"/>
    <w:rsid w:val="00717D3E"/>
    <w:rsid w:val="00720E96"/>
    <w:rsid w:val="00722819"/>
    <w:rsid w:val="0072741E"/>
    <w:rsid w:val="00731C8E"/>
    <w:rsid w:val="00733C5F"/>
    <w:rsid w:val="007364A0"/>
    <w:rsid w:val="00736F29"/>
    <w:rsid w:val="007370C9"/>
    <w:rsid w:val="00745298"/>
    <w:rsid w:val="00751776"/>
    <w:rsid w:val="00760479"/>
    <w:rsid w:val="0076124A"/>
    <w:rsid w:val="007617D3"/>
    <w:rsid w:val="00764ACB"/>
    <w:rsid w:val="00765821"/>
    <w:rsid w:val="00765B4D"/>
    <w:rsid w:val="00766DCD"/>
    <w:rsid w:val="00791E52"/>
    <w:rsid w:val="00791F4E"/>
    <w:rsid w:val="007A27C4"/>
    <w:rsid w:val="007A5F1C"/>
    <w:rsid w:val="007A6AB3"/>
    <w:rsid w:val="007A7078"/>
    <w:rsid w:val="007A73DC"/>
    <w:rsid w:val="007B3E0F"/>
    <w:rsid w:val="007B4B08"/>
    <w:rsid w:val="007C1F6B"/>
    <w:rsid w:val="007C3E6C"/>
    <w:rsid w:val="007C4A3D"/>
    <w:rsid w:val="007C5C1E"/>
    <w:rsid w:val="007C6C39"/>
    <w:rsid w:val="007E6262"/>
    <w:rsid w:val="007F508C"/>
    <w:rsid w:val="00805298"/>
    <w:rsid w:val="00814A42"/>
    <w:rsid w:val="00816206"/>
    <w:rsid w:val="0082004C"/>
    <w:rsid w:val="00821745"/>
    <w:rsid w:val="0082683B"/>
    <w:rsid w:val="00827FFE"/>
    <w:rsid w:val="00835132"/>
    <w:rsid w:val="0085659D"/>
    <w:rsid w:val="00861C7C"/>
    <w:rsid w:val="0086492B"/>
    <w:rsid w:val="0086665D"/>
    <w:rsid w:val="008676CF"/>
    <w:rsid w:val="00874AB2"/>
    <w:rsid w:val="00875B3C"/>
    <w:rsid w:val="00880808"/>
    <w:rsid w:val="00881831"/>
    <w:rsid w:val="00882245"/>
    <w:rsid w:val="008911B0"/>
    <w:rsid w:val="00891B49"/>
    <w:rsid w:val="00894759"/>
    <w:rsid w:val="00895B29"/>
    <w:rsid w:val="008B02B4"/>
    <w:rsid w:val="008B1AF7"/>
    <w:rsid w:val="008D6B0F"/>
    <w:rsid w:val="008E251D"/>
    <w:rsid w:val="008F0BF9"/>
    <w:rsid w:val="008F2839"/>
    <w:rsid w:val="008F2D47"/>
    <w:rsid w:val="00903CA2"/>
    <w:rsid w:val="00905109"/>
    <w:rsid w:val="009067FB"/>
    <w:rsid w:val="0090776B"/>
    <w:rsid w:val="00912449"/>
    <w:rsid w:val="00913CF1"/>
    <w:rsid w:val="00921C68"/>
    <w:rsid w:val="00922A39"/>
    <w:rsid w:val="009332C4"/>
    <w:rsid w:val="00937704"/>
    <w:rsid w:val="00940552"/>
    <w:rsid w:val="00951454"/>
    <w:rsid w:val="00954EF4"/>
    <w:rsid w:val="00957787"/>
    <w:rsid w:val="00964543"/>
    <w:rsid w:val="009669AC"/>
    <w:rsid w:val="00967582"/>
    <w:rsid w:val="00967E15"/>
    <w:rsid w:val="00975426"/>
    <w:rsid w:val="009761E1"/>
    <w:rsid w:val="00983584"/>
    <w:rsid w:val="00985AC9"/>
    <w:rsid w:val="00993F6F"/>
    <w:rsid w:val="00995ABB"/>
    <w:rsid w:val="009A1A69"/>
    <w:rsid w:val="009A220A"/>
    <w:rsid w:val="009A2CFB"/>
    <w:rsid w:val="009A7E23"/>
    <w:rsid w:val="009C02B3"/>
    <w:rsid w:val="009C5AC7"/>
    <w:rsid w:val="009D06F0"/>
    <w:rsid w:val="009D1653"/>
    <w:rsid w:val="009D40F4"/>
    <w:rsid w:val="009D54AD"/>
    <w:rsid w:val="009D7224"/>
    <w:rsid w:val="009E23D6"/>
    <w:rsid w:val="009F1090"/>
    <w:rsid w:val="009F1B3A"/>
    <w:rsid w:val="009F5FB7"/>
    <w:rsid w:val="00A00B9C"/>
    <w:rsid w:val="00A03BCC"/>
    <w:rsid w:val="00A1015C"/>
    <w:rsid w:val="00A109AB"/>
    <w:rsid w:val="00A134BF"/>
    <w:rsid w:val="00A1456E"/>
    <w:rsid w:val="00A2032C"/>
    <w:rsid w:val="00A21F8A"/>
    <w:rsid w:val="00A23D9D"/>
    <w:rsid w:val="00A27EAA"/>
    <w:rsid w:val="00A35043"/>
    <w:rsid w:val="00A35124"/>
    <w:rsid w:val="00A44D84"/>
    <w:rsid w:val="00A51066"/>
    <w:rsid w:val="00A53E5F"/>
    <w:rsid w:val="00A55894"/>
    <w:rsid w:val="00A63121"/>
    <w:rsid w:val="00A64C9D"/>
    <w:rsid w:val="00A651BA"/>
    <w:rsid w:val="00A71007"/>
    <w:rsid w:val="00A7127B"/>
    <w:rsid w:val="00A72032"/>
    <w:rsid w:val="00AA02BD"/>
    <w:rsid w:val="00AA150E"/>
    <w:rsid w:val="00AA37FC"/>
    <w:rsid w:val="00AA44EC"/>
    <w:rsid w:val="00AA6032"/>
    <w:rsid w:val="00AA6B0D"/>
    <w:rsid w:val="00AB1C30"/>
    <w:rsid w:val="00AB2268"/>
    <w:rsid w:val="00AB2357"/>
    <w:rsid w:val="00AB76F4"/>
    <w:rsid w:val="00AB7AB5"/>
    <w:rsid w:val="00AC3F1C"/>
    <w:rsid w:val="00AD0CBB"/>
    <w:rsid w:val="00AD1A0C"/>
    <w:rsid w:val="00AE5A10"/>
    <w:rsid w:val="00AF79A8"/>
    <w:rsid w:val="00B12C8B"/>
    <w:rsid w:val="00B12DA7"/>
    <w:rsid w:val="00B20A6E"/>
    <w:rsid w:val="00B2391A"/>
    <w:rsid w:val="00B2623C"/>
    <w:rsid w:val="00B26839"/>
    <w:rsid w:val="00B30C82"/>
    <w:rsid w:val="00B36738"/>
    <w:rsid w:val="00B36D0F"/>
    <w:rsid w:val="00B37411"/>
    <w:rsid w:val="00B415EE"/>
    <w:rsid w:val="00B452CF"/>
    <w:rsid w:val="00B50F6C"/>
    <w:rsid w:val="00B53A25"/>
    <w:rsid w:val="00B55047"/>
    <w:rsid w:val="00B56057"/>
    <w:rsid w:val="00B56F2D"/>
    <w:rsid w:val="00B607D4"/>
    <w:rsid w:val="00B61D3D"/>
    <w:rsid w:val="00B67D07"/>
    <w:rsid w:val="00B70B1B"/>
    <w:rsid w:val="00B74121"/>
    <w:rsid w:val="00B81842"/>
    <w:rsid w:val="00B91ABE"/>
    <w:rsid w:val="00B93959"/>
    <w:rsid w:val="00B94FCC"/>
    <w:rsid w:val="00BA10F0"/>
    <w:rsid w:val="00BA6A2A"/>
    <w:rsid w:val="00BB31B2"/>
    <w:rsid w:val="00BB401D"/>
    <w:rsid w:val="00BB4098"/>
    <w:rsid w:val="00BB7AD8"/>
    <w:rsid w:val="00BC5776"/>
    <w:rsid w:val="00BD50A7"/>
    <w:rsid w:val="00BD5A03"/>
    <w:rsid w:val="00BD7D7A"/>
    <w:rsid w:val="00BE0B5B"/>
    <w:rsid w:val="00BE292B"/>
    <w:rsid w:val="00BE2F54"/>
    <w:rsid w:val="00BF3B66"/>
    <w:rsid w:val="00BF5EAD"/>
    <w:rsid w:val="00C028D2"/>
    <w:rsid w:val="00C06DB0"/>
    <w:rsid w:val="00C07DB7"/>
    <w:rsid w:val="00C166F5"/>
    <w:rsid w:val="00C16AB4"/>
    <w:rsid w:val="00C2298E"/>
    <w:rsid w:val="00C23F51"/>
    <w:rsid w:val="00C263BD"/>
    <w:rsid w:val="00C3392F"/>
    <w:rsid w:val="00C4324F"/>
    <w:rsid w:val="00C440EA"/>
    <w:rsid w:val="00C44502"/>
    <w:rsid w:val="00C44596"/>
    <w:rsid w:val="00C51821"/>
    <w:rsid w:val="00C51E4A"/>
    <w:rsid w:val="00C52C25"/>
    <w:rsid w:val="00C607E3"/>
    <w:rsid w:val="00C74D65"/>
    <w:rsid w:val="00C81EB1"/>
    <w:rsid w:val="00C83AF9"/>
    <w:rsid w:val="00C85F50"/>
    <w:rsid w:val="00C961DC"/>
    <w:rsid w:val="00C97480"/>
    <w:rsid w:val="00C9771D"/>
    <w:rsid w:val="00C97768"/>
    <w:rsid w:val="00C97E34"/>
    <w:rsid w:val="00CA03EC"/>
    <w:rsid w:val="00CA5FAD"/>
    <w:rsid w:val="00CB005C"/>
    <w:rsid w:val="00CB05AB"/>
    <w:rsid w:val="00CB0B0F"/>
    <w:rsid w:val="00CB4A3E"/>
    <w:rsid w:val="00CB64CA"/>
    <w:rsid w:val="00CB6797"/>
    <w:rsid w:val="00CB76B2"/>
    <w:rsid w:val="00CB7B6C"/>
    <w:rsid w:val="00CC16F8"/>
    <w:rsid w:val="00CC1A0E"/>
    <w:rsid w:val="00CC231D"/>
    <w:rsid w:val="00CD1071"/>
    <w:rsid w:val="00CD7380"/>
    <w:rsid w:val="00CE7795"/>
    <w:rsid w:val="00CE78A1"/>
    <w:rsid w:val="00CF25E7"/>
    <w:rsid w:val="00D12632"/>
    <w:rsid w:val="00D1666F"/>
    <w:rsid w:val="00D2017B"/>
    <w:rsid w:val="00D22C00"/>
    <w:rsid w:val="00D2653F"/>
    <w:rsid w:val="00D26564"/>
    <w:rsid w:val="00D27AA8"/>
    <w:rsid w:val="00D3216D"/>
    <w:rsid w:val="00D3267B"/>
    <w:rsid w:val="00D35E87"/>
    <w:rsid w:val="00D363E7"/>
    <w:rsid w:val="00D37344"/>
    <w:rsid w:val="00D37BED"/>
    <w:rsid w:val="00D46453"/>
    <w:rsid w:val="00D521A1"/>
    <w:rsid w:val="00D60B3A"/>
    <w:rsid w:val="00D60D63"/>
    <w:rsid w:val="00D61F7F"/>
    <w:rsid w:val="00D717BC"/>
    <w:rsid w:val="00D72E16"/>
    <w:rsid w:val="00D81D9F"/>
    <w:rsid w:val="00D83086"/>
    <w:rsid w:val="00D83BDA"/>
    <w:rsid w:val="00D84CB0"/>
    <w:rsid w:val="00D87AAC"/>
    <w:rsid w:val="00D90824"/>
    <w:rsid w:val="00D91F3A"/>
    <w:rsid w:val="00D94F0B"/>
    <w:rsid w:val="00D96C8D"/>
    <w:rsid w:val="00DA0DB5"/>
    <w:rsid w:val="00DA2D46"/>
    <w:rsid w:val="00DA63C7"/>
    <w:rsid w:val="00DB21E2"/>
    <w:rsid w:val="00DB47A0"/>
    <w:rsid w:val="00DB6EBD"/>
    <w:rsid w:val="00DC1503"/>
    <w:rsid w:val="00DD40D3"/>
    <w:rsid w:val="00DD6B8A"/>
    <w:rsid w:val="00DE0B94"/>
    <w:rsid w:val="00DE2B9E"/>
    <w:rsid w:val="00DE3F49"/>
    <w:rsid w:val="00DF3A5B"/>
    <w:rsid w:val="00E03395"/>
    <w:rsid w:val="00E1292A"/>
    <w:rsid w:val="00E15BC4"/>
    <w:rsid w:val="00E204D5"/>
    <w:rsid w:val="00E20CAC"/>
    <w:rsid w:val="00E279E7"/>
    <w:rsid w:val="00E27B18"/>
    <w:rsid w:val="00E31482"/>
    <w:rsid w:val="00E33442"/>
    <w:rsid w:val="00E33B0D"/>
    <w:rsid w:val="00E3431B"/>
    <w:rsid w:val="00E36E96"/>
    <w:rsid w:val="00E413E8"/>
    <w:rsid w:val="00E41B9E"/>
    <w:rsid w:val="00E85F16"/>
    <w:rsid w:val="00E86927"/>
    <w:rsid w:val="00E9344F"/>
    <w:rsid w:val="00EA3BB2"/>
    <w:rsid w:val="00EA4321"/>
    <w:rsid w:val="00EA612F"/>
    <w:rsid w:val="00EB1708"/>
    <w:rsid w:val="00EB399F"/>
    <w:rsid w:val="00EC329E"/>
    <w:rsid w:val="00ED1A2A"/>
    <w:rsid w:val="00ED39B9"/>
    <w:rsid w:val="00EE1E1B"/>
    <w:rsid w:val="00EE2EC6"/>
    <w:rsid w:val="00EE5070"/>
    <w:rsid w:val="00EF064A"/>
    <w:rsid w:val="00F034BE"/>
    <w:rsid w:val="00F05326"/>
    <w:rsid w:val="00F05A65"/>
    <w:rsid w:val="00F06574"/>
    <w:rsid w:val="00F236DE"/>
    <w:rsid w:val="00F308BD"/>
    <w:rsid w:val="00F324F4"/>
    <w:rsid w:val="00F51B9D"/>
    <w:rsid w:val="00F52B60"/>
    <w:rsid w:val="00F53DE7"/>
    <w:rsid w:val="00F56C94"/>
    <w:rsid w:val="00F64B34"/>
    <w:rsid w:val="00F70854"/>
    <w:rsid w:val="00F86012"/>
    <w:rsid w:val="00FA6D26"/>
    <w:rsid w:val="00FC1097"/>
    <w:rsid w:val="00FC3C2D"/>
    <w:rsid w:val="00FC4EDE"/>
    <w:rsid w:val="00FD608F"/>
    <w:rsid w:val="00FE23BA"/>
    <w:rsid w:val="00FE3BF2"/>
    <w:rsid w:val="00FE6AEA"/>
    <w:rsid w:val="00FF5082"/>
    <w:rsid w:val="00FF54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6F29"/>
    <w:pPr>
      <w:spacing w:after="0" w:line="240" w:lineRule="auto"/>
    </w:pPr>
    <w:rPr>
      <w:rFonts w:ascii="Arial" w:hAnsi="Arial" w:cs="Times New Roman"/>
      <w:sz w:val="20"/>
      <w:szCs w:val="24"/>
    </w:rPr>
  </w:style>
  <w:style w:type="paragraph" w:styleId="Nagwek1">
    <w:name w:val="heading 1"/>
    <w:aliases w:val="NOTY"/>
    <w:basedOn w:val="Normalny"/>
    <w:next w:val="Normalny"/>
    <w:link w:val="Nagwek1Znak"/>
    <w:autoRedefine/>
    <w:uiPriority w:val="9"/>
    <w:qFormat/>
    <w:rsid w:val="00275A91"/>
    <w:pPr>
      <w:keepNext/>
      <w:keepLines/>
      <w:numPr>
        <w:numId w:val="3"/>
      </w:numPr>
      <w:spacing w:before="240" w:after="120"/>
      <w:ind w:left="714" w:hanging="357"/>
      <w:jc w:val="both"/>
      <w:outlineLvl w:val="0"/>
    </w:pPr>
    <w:rPr>
      <w:rFonts w:eastAsiaTheme="majorEastAsia" w:cstheme="majorBidi"/>
      <w:b/>
      <w:bCs/>
      <w:szCs w:val="28"/>
    </w:rPr>
  </w:style>
  <w:style w:type="paragraph" w:styleId="Nagwek2">
    <w:name w:val="heading 2"/>
    <w:basedOn w:val="Normalny"/>
    <w:next w:val="Normalny"/>
    <w:link w:val="Nagwek2Znak"/>
    <w:autoRedefine/>
    <w:qFormat/>
    <w:rsid w:val="00DE3F49"/>
    <w:pPr>
      <w:keepLines/>
      <w:numPr>
        <w:numId w:val="6"/>
      </w:numPr>
      <w:spacing w:before="240" w:after="120"/>
      <w:ind w:left="284" w:hanging="284"/>
      <w:jc w:val="both"/>
      <w:outlineLvl w:val="1"/>
    </w:pPr>
    <w:rPr>
      <w:rFonts w:eastAsia="Calibri"/>
      <w:b/>
      <w:bCs/>
      <w:color w:val="000000"/>
      <w:szCs w:val="20"/>
    </w:rPr>
  </w:style>
  <w:style w:type="paragraph" w:styleId="Nagwek3">
    <w:name w:val="heading 3"/>
    <w:basedOn w:val="Normalny"/>
    <w:next w:val="Normalny"/>
    <w:link w:val="Nagwek3Znak"/>
    <w:uiPriority w:val="9"/>
    <w:semiHidden/>
    <w:unhideWhenUsed/>
    <w:qFormat/>
    <w:rsid w:val="005C4A1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TY Znak"/>
    <w:basedOn w:val="Domylnaczcionkaakapitu"/>
    <w:link w:val="Nagwek1"/>
    <w:uiPriority w:val="9"/>
    <w:rsid w:val="00275A91"/>
    <w:rPr>
      <w:rFonts w:ascii="Arial" w:eastAsiaTheme="majorEastAsia" w:hAnsi="Arial" w:cstheme="majorBidi"/>
      <w:b/>
      <w:bCs/>
      <w:sz w:val="20"/>
      <w:szCs w:val="28"/>
      <w:lang w:eastAsia="en-GB"/>
    </w:rPr>
  </w:style>
  <w:style w:type="paragraph" w:styleId="Tekstdymka">
    <w:name w:val="Balloon Text"/>
    <w:basedOn w:val="Normalny"/>
    <w:link w:val="TekstdymkaZnak"/>
    <w:uiPriority w:val="99"/>
    <w:semiHidden/>
    <w:unhideWhenUsed/>
    <w:rsid w:val="004C71B6"/>
    <w:rPr>
      <w:rFonts w:ascii="Tahoma" w:hAnsi="Tahoma" w:cs="Tahoma"/>
      <w:sz w:val="16"/>
      <w:szCs w:val="16"/>
    </w:rPr>
  </w:style>
  <w:style w:type="character" w:customStyle="1" w:styleId="TekstdymkaZnak">
    <w:name w:val="Tekst dymka Znak"/>
    <w:basedOn w:val="Domylnaczcionkaakapitu"/>
    <w:link w:val="Tekstdymka"/>
    <w:uiPriority w:val="99"/>
    <w:semiHidden/>
    <w:rsid w:val="004C71B6"/>
    <w:rPr>
      <w:rFonts w:ascii="Tahoma" w:hAnsi="Tahoma" w:cs="Tahoma"/>
      <w:sz w:val="16"/>
      <w:szCs w:val="16"/>
      <w:lang w:eastAsia="en-GB"/>
    </w:rPr>
  </w:style>
  <w:style w:type="paragraph" w:styleId="Tekstpodstawowy">
    <w:name w:val="Body Text"/>
    <w:aliases w:val="b,b1,b2,b3,b4,b5,b6,b7,b8,b9,b10,b11"/>
    <w:basedOn w:val="Normalny"/>
    <w:link w:val="TekstpodstawowyZnak"/>
    <w:semiHidden/>
    <w:rsid w:val="004C71B6"/>
    <w:rPr>
      <w:b/>
      <w:bCs/>
    </w:rPr>
  </w:style>
  <w:style w:type="character" w:customStyle="1" w:styleId="TekstpodstawowyZnak">
    <w:name w:val="Tekst podstawowy Znak"/>
    <w:aliases w:val="b Znak,b1 Znak,b2 Znak,b3 Znak,b4 Znak,b5 Znak,b6 Znak,b7 Znak,b8 Znak,b9 Znak,b10 Znak,b11 Znak"/>
    <w:basedOn w:val="Domylnaczcionkaakapitu"/>
    <w:link w:val="Tekstpodstawowy"/>
    <w:semiHidden/>
    <w:rsid w:val="004C71B6"/>
    <w:rPr>
      <w:rFonts w:ascii="Arial" w:hAnsi="Arial" w:cs="Times New Roman"/>
      <w:b/>
      <w:bCs/>
      <w:sz w:val="20"/>
      <w:szCs w:val="24"/>
      <w:lang w:eastAsia="en-GB"/>
    </w:rPr>
  </w:style>
  <w:style w:type="paragraph" w:styleId="Spistreci1">
    <w:name w:val="toc 1"/>
    <w:basedOn w:val="Normalny"/>
    <w:next w:val="Normalny"/>
    <w:autoRedefine/>
    <w:uiPriority w:val="39"/>
    <w:unhideWhenUsed/>
    <w:rsid w:val="003B4DA5"/>
    <w:pPr>
      <w:tabs>
        <w:tab w:val="left" w:pos="440"/>
        <w:tab w:val="right" w:leader="dot" w:pos="9356"/>
      </w:tabs>
      <w:spacing w:after="100" w:line="22" w:lineRule="atLeast"/>
      <w:ind w:left="426" w:right="425" w:hanging="426"/>
      <w:jc w:val="both"/>
    </w:pPr>
    <w:rPr>
      <w:rFonts w:ascii="Helvetica" w:hAnsi="Helvetica"/>
      <w:caps/>
    </w:rPr>
  </w:style>
  <w:style w:type="character" w:styleId="Hipercze">
    <w:name w:val="Hyperlink"/>
    <w:basedOn w:val="Domylnaczcionkaakapitu"/>
    <w:uiPriority w:val="99"/>
    <w:unhideWhenUsed/>
    <w:rsid w:val="00CE7795"/>
    <w:rPr>
      <w:color w:val="0000FF" w:themeColor="hyperlink"/>
      <w:u w:val="single"/>
    </w:rPr>
  </w:style>
  <w:style w:type="paragraph" w:styleId="Tekstpodstawowywcity">
    <w:name w:val="Body Text Indent"/>
    <w:basedOn w:val="Normalny"/>
    <w:link w:val="TekstpodstawowywcityZnak"/>
    <w:uiPriority w:val="99"/>
    <w:unhideWhenUsed/>
    <w:rsid w:val="0025250D"/>
    <w:pPr>
      <w:spacing w:after="120"/>
      <w:ind w:left="283"/>
    </w:pPr>
  </w:style>
  <w:style w:type="character" w:customStyle="1" w:styleId="TekstpodstawowywcityZnak">
    <w:name w:val="Tekst podstawowy wcięty Znak"/>
    <w:basedOn w:val="Domylnaczcionkaakapitu"/>
    <w:link w:val="Tekstpodstawowywcity"/>
    <w:uiPriority w:val="99"/>
    <w:rsid w:val="0025250D"/>
    <w:rPr>
      <w:rFonts w:ascii="Arial" w:hAnsi="Arial" w:cs="Times New Roman"/>
      <w:sz w:val="20"/>
      <w:szCs w:val="24"/>
      <w:lang w:eastAsia="en-GB"/>
    </w:rPr>
  </w:style>
  <w:style w:type="paragraph" w:styleId="Legenda">
    <w:name w:val="caption"/>
    <w:basedOn w:val="Normalny"/>
    <w:next w:val="Normalny"/>
    <w:uiPriority w:val="35"/>
    <w:unhideWhenUsed/>
    <w:qFormat/>
    <w:rsid w:val="00B607D4"/>
    <w:pPr>
      <w:spacing w:after="200"/>
    </w:pPr>
    <w:rPr>
      <w:b/>
      <w:bCs/>
      <w:szCs w:val="18"/>
    </w:rPr>
  </w:style>
  <w:style w:type="paragraph" w:customStyle="1" w:styleId="dAREK1">
    <w:name w:val="dAREK1"/>
    <w:basedOn w:val="Normalny"/>
    <w:rsid w:val="00E279E7"/>
    <w:pPr>
      <w:jc w:val="both"/>
    </w:pPr>
    <w:rPr>
      <w:rFonts w:cs="Arial"/>
    </w:rPr>
  </w:style>
  <w:style w:type="table" w:styleId="Tabela-Siatka">
    <w:name w:val="Table Grid"/>
    <w:basedOn w:val="Standardowy"/>
    <w:uiPriority w:val="59"/>
    <w:rsid w:val="00E27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232444"/>
    <w:rPr>
      <w:szCs w:val="20"/>
    </w:rPr>
  </w:style>
  <w:style w:type="character" w:customStyle="1" w:styleId="TekstprzypisukocowegoZnak">
    <w:name w:val="Tekst przypisu końcowego Znak"/>
    <w:basedOn w:val="Domylnaczcionkaakapitu"/>
    <w:link w:val="Tekstprzypisukocowego"/>
    <w:uiPriority w:val="99"/>
    <w:semiHidden/>
    <w:rsid w:val="00232444"/>
    <w:rPr>
      <w:rFonts w:ascii="Arial" w:hAnsi="Arial" w:cs="Times New Roman"/>
      <w:sz w:val="20"/>
      <w:szCs w:val="20"/>
      <w:lang w:eastAsia="en-GB"/>
    </w:rPr>
  </w:style>
  <w:style w:type="character" w:styleId="Odwoanieprzypisukocowego">
    <w:name w:val="endnote reference"/>
    <w:basedOn w:val="Domylnaczcionkaakapitu"/>
    <w:uiPriority w:val="99"/>
    <w:semiHidden/>
    <w:unhideWhenUsed/>
    <w:rsid w:val="00232444"/>
    <w:rPr>
      <w:vertAlign w:val="superscript"/>
    </w:rPr>
  </w:style>
  <w:style w:type="character" w:customStyle="1" w:styleId="Nagwek2Znak">
    <w:name w:val="Nagłówek 2 Znak"/>
    <w:basedOn w:val="Domylnaczcionkaakapitu"/>
    <w:link w:val="Nagwek2"/>
    <w:rsid w:val="00DE3F49"/>
    <w:rPr>
      <w:rFonts w:ascii="Arial" w:eastAsia="Calibri" w:hAnsi="Arial" w:cs="Times New Roman"/>
      <w:b/>
      <w:bCs/>
      <w:color w:val="000000"/>
      <w:sz w:val="20"/>
      <w:szCs w:val="20"/>
    </w:rPr>
  </w:style>
  <w:style w:type="paragraph" w:customStyle="1" w:styleId="Marta">
    <w:name w:val="Marta"/>
    <w:basedOn w:val="Nagwek2"/>
    <w:link w:val="MartaZnak"/>
    <w:qFormat/>
    <w:rsid w:val="00DE3F49"/>
    <w:pPr>
      <w:ind w:left="720" w:hanging="360"/>
    </w:pPr>
    <w:rPr>
      <w:rFonts w:cs="Arial"/>
      <w:iCs/>
    </w:rPr>
  </w:style>
  <w:style w:type="character" w:customStyle="1" w:styleId="MartaZnak">
    <w:name w:val="Marta Znak"/>
    <w:basedOn w:val="Nagwek2Znak"/>
    <w:link w:val="Marta"/>
    <w:rsid w:val="00DE3F49"/>
    <w:rPr>
      <w:rFonts w:ascii="Arial" w:eastAsia="Calibri" w:hAnsi="Arial" w:cs="Arial"/>
      <w:b/>
      <w:bCs/>
      <w:iCs/>
      <w:color w:val="000000"/>
      <w:sz w:val="20"/>
      <w:szCs w:val="20"/>
    </w:rPr>
  </w:style>
  <w:style w:type="paragraph" w:customStyle="1" w:styleId="Default">
    <w:name w:val="Default"/>
    <w:rsid w:val="003058B3"/>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semiHidden/>
    <w:unhideWhenUsed/>
    <w:rsid w:val="00AA150E"/>
    <w:rPr>
      <w:sz w:val="16"/>
      <w:szCs w:val="16"/>
    </w:rPr>
  </w:style>
  <w:style w:type="paragraph" w:styleId="Nagwek">
    <w:name w:val="header"/>
    <w:basedOn w:val="Normalny"/>
    <w:link w:val="NagwekZnak"/>
    <w:uiPriority w:val="99"/>
    <w:unhideWhenUsed/>
    <w:rsid w:val="005C4A1F"/>
    <w:pPr>
      <w:tabs>
        <w:tab w:val="center" w:pos="4536"/>
        <w:tab w:val="right" w:pos="9072"/>
      </w:tabs>
    </w:pPr>
  </w:style>
  <w:style w:type="character" w:customStyle="1" w:styleId="NagwekZnak">
    <w:name w:val="Nagłówek Znak"/>
    <w:basedOn w:val="Domylnaczcionkaakapitu"/>
    <w:link w:val="Nagwek"/>
    <w:uiPriority w:val="99"/>
    <w:rsid w:val="005C4A1F"/>
    <w:rPr>
      <w:rFonts w:ascii="Arial" w:hAnsi="Arial" w:cs="Times New Roman"/>
      <w:sz w:val="20"/>
      <w:szCs w:val="24"/>
      <w:lang w:eastAsia="en-GB"/>
    </w:rPr>
  </w:style>
  <w:style w:type="paragraph" w:styleId="Stopka">
    <w:name w:val="footer"/>
    <w:basedOn w:val="Normalny"/>
    <w:link w:val="StopkaZnak"/>
    <w:uiPriority w:val="99"/>
    <w:unhideWhenUsed/>
    <w:rsid w:val="005C4A1F"/>
    <w:pPr>
      <w:tabs>
        <w:tab w:val="center" w:pos="4536"/>
        <w:tab w:val="right" w:pos="9072"/>
      </w:tabs>
    </w:pPr>
  </w:style>
  <w:style w:type="character" w:customStyle="1" w:styleId="StopkaZnak">
    <w:name w:val="Stopka Znak"/>
    <w:basedOn w:val="Domylnaczcionkaakapitu"/>
    <w:link w:val="Stopka"/>
    <w:uiPriority w:val="99"/>
    <w:rsid w:val="005C4A1F"/>
    <w:rPr>
      <w:rFonts w:ascii="Arial" w:hAnsi="Arial" w:cs="Times New Roman"/>
      <w:sz w:val="20"/>
      <w:szCs w:val="24"/>
      <w:lang w:eastAsia="en-GB"/>
    </w:rPr>
  </w:style>
  <w:style w:type="character" w:customStyle="1" w:styleId="Nagwek3Znak">
    <w:name w:val="Nagłówek 3 Znak"/>
    <w:basedOn w:val="Domylnaczcionkaakapitu"/>
    <w:link w:val="Nagwek3"/>
    <w:uiPriority w:val="9"/>
    <w:semiHidden/>
    <w:rsid w:val="005C4A1F"/>
    <w:rPr>
      <w:rFonts w:asciiTheme="majorHAnsi" w:eastAsiaTheme="majorEastAsia" w:hAnsiTheme="majorHAnsi" w:cstheme="majorBidi"/>
      <w:b/>
      <w:bCs/>
      <w:color w:val="4F81BD" w:themeColor="accent1"/>
      <w:sz w:val="20"/>
      <w:szCs w:val="24"/>
      <w:lang w:eastAsia="en-GB"/>
    </w:rPr>
  </w:style>
  <w:style w:type="paragraph" w:styleId="NormalnyWeb">
    <w:name w:val="Normal (Web)"/>
    <w:basedOn w:val="Normalny"/>
    <w:uiPriority w:val="99"/>
    <w:semiHidden/>
    <w:unhideWhenUsed/>
    <w:rsid w:val="00D94F0B"/>
    <w:pPr>
      <w:spacing w:before="120" w:after="120" w:line="384" w:lineRule="atLeast"/>
      <w:jc w:val="both"/>
    </w:pPr>
    <w:rPr>
      <w:rFonts w:ascii="Times New Roman" w:hAnsi="Times New Roman"/>
      <w:color w:val="4E4D4D"/>
      <w:sz w:val="18"/>
      <w:szCs w:val="18"/>
    </w:rPr>
  </w:style>
  <w:style w:type="paragraph" w:styleId="Tekstkomentarza">
    <w:name w:val="annotation text"/>
    <w:basedOn w:val="Normalny"/>
    <w:link w:val="TekstkomentarzaZnak"/>
    <w:uiPriority w:val="99"/>
    <w:semiHidden/>
    <w:unhideWhenUsed/>
    <w:rsid w:val="001A49F6"/>
    <w:rPr>
      <w:szCs w:val="20"/>
    </w:rPr>
  </w:style>
  <w:style w:type="character" w:customStyle="1" w:styleId="TekstkomentarzaZnak">
    <w:name w:val="Tekst komentarza Znak"/>
    <w:basedOn w:val="Domylnaczcionkaakapitu"/>
    <w:link w:val="Tekstkomentarza"/>
    <w:uiPriority w:val="99"/>
    <w:semiHidden/>
    <w:rsid w:val="001A49F6"/>
    <w:rPr>
      <w:rFonts w:ascii="Arial" w:hAnsi="Arial" w:cs="Times New Roman"/>
      <w:sz w:val="20"/>
      <w:szCs w:val="20"/>
      <w:lang w:eastAsia="en-GB"/>
    </w:rPr>
  </w:style>
  <w:style w:type="paragraph" w:styleId="Akapitzlist">
    <w:name w:val="List Paragraph"/>
    <w:basedOn w:val="Normalny"/>
    <w:uiPriority w:val="34"/>
    <w:qFormat/>
    <w:rsid w:val="006E4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95295">
      <w:bodyDiv w:val="1"/>
      <w:marLeft w:val="0"/>
      <w:marRight w:val="0"/>
      <w:marTop w:val="0"/>
      <w:marBottom w:val="0"/>
      <w:divBdr>
        <w:top w:val="none" w:sz="0" w:space="0" w:color="auto"/>
        <w:left w:val="none" w:sz="0" w:space="0" w:color="auto"/>
        <w:bottom w:val="none" w:sz="0" w:space="0" w:color="auto"/>
        <w:right w:val="none" w:sz="0" w:space="0" w:color="auto"/>
      </w:divBdr>
      <w:divsChild>
        <w:div w:id="907886476">
          <w:marLeft w:val="0"/>
          <w:marRight w:val="0"/>
          <w:marTop w:val="0"/>
          <w:marBottom w:val="0"/>
          <w:divBdr>
            <w:top w:val="none" w:sz="0" w:space="0" w:color="auto"/>
            <w:left w:val="none" w:sz="0" w:space="0" w:color="auto"/>
            <w:bottom w:val="none" w:sz="0" w:space="0" w:color="auto"/>
            <w:right w:val="none" w:sz="0" w:space="0" w:color="auto"/>
          </w:divBdr>
          <w:divsChild>
            <w:div w:id="1571963693">
              <w:marLeft w:val="0"/>
              <w:marRight w:val="0"/>
              <w:marTop w:val="0"/>
              <w:marBottom w:val="600"/>
              <w:divBdr>
                <w:top w:val="none" w:sz="0" w:space="0" w:color="auto"/>
                <w:left w:val="none" w:sz="0" w:space="0" w:color="auto"/>
                <w:bottom w:val="none" w:sz="0" w:space="0" w:color="auto"/>
                <w:right w:val="none" w:sz="0" w:space="0" w:color="auto"/>
              </w:divBdr>
              <w:divsChild>
                <w:div w:id="206337785">
                  <w:marLeft w:val="0"/>
                  <w:marRight w:val="0"/>
                  <w:marTop w:val="100"/>
                  <w:marBottom w:val="100"/>
                  <w:divBdr>
                    <w:top w:val="none" w:sz="0" w:space="0" w:color="auto"/>
                    <w:left w:val="none" w:sz="0" w:space="0" w:color="auto"/>
                    <w:bottom w:val="none" w:sz="0" w:space="0" w:color="auto"/>
                    <w:right w:val="none" w:sz="0" w:space="0" w:color="auto"/>
                  </w:divBdr>
                  <w:divsChild>
                    <w:div w:id="230164017">
                      <w:marLeft w:val="0"/>
                      <w:marRight w:val="0"/>
                      <w:marTop w:val="0"/>
                      <w:marBottom w:val="0"/>
                      <w:divBdr>
                        <w:top w:val="none" w:sz="0" w:space="0" w:color="auto"/>
                        <w:left w:val="none" w:sz="0" w:space="0" w:color="auto"/>
                        <w:bottom w:val="none" w:sz="0" w:space="0" w:color="auto"/>
                        <w:right w:val="none" w:sz="0" w:space="0" w:color="auto"/>
                      </w:divBdr>
                      <w:divsChild>
                        <w:div w:id="1045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4031">
      <w:bodyDiv w:val="1"/>
      <w:marLeft w:val="0"/>
      <w:marRight w:val="0"/>
      <w:marTop w:val="0"/>
      <w:marBottom w:val="0"/>
      <w:divBdr>
        <w:top w:val="none" w:sz="0" w:space="0" w:color="auto"/>
        <w:left w:val="none" w:sz="0" w:space="0" w:color="auto"/>
        <w:bottom w:val="none" w:sz="0" w:space="0" w:color="auto"/>
        <w:right w:val="none" w:sz="0" w:space="0" w:color="auto"/>
      </w:divBdr>
      <w:divsChild>
        <w:div w:id="868951590">
          <w:marLeft w:val="0"/>
          <w:marRight w:val="0"/>
          <w:marTop w:val="0"/>
          <w:marBottom w:val="0"/>
          <w:divBdr>
            <w:top w:val="none" w:sz="0" w:space="0" w:color="auto"/>
            <w:left w:val="none" w:sz="0" w:space="0" w:color="auto"/>
            <w:bottom w:val="none" w:sz="0" w:space="0" w:color="auto"/>
            <w:right w:val="none" w:sz="0" w:space="0" w:color="auto"/>
          </w:divBdr>
          <w:divsChild>
            <w:div w:id="1302727652">
              <w:marLeft w:val="0"/>
              <w:marRight w:val="0"/>
              <w:marTop w:val="0"/>
              <w:marBottom w:val="600"/>
              <w:divBdr>
                <w:top w:val="none" w:sz="0" w:space="0" w:color="auto"/>
                <w:left w:val="none" w:sz="0" w:space="0" w:color="auto"/>
                <w:bottom w:val="none" w:sz="0" w:space="0" w:color="auto"/>
                <w:right w:val="none" w:sz="0" w:space="0" w:color="auto"/>
              </w:divBdr>
              <w:divsChild>
                <w:div w:id="833227402">
                  <w:marLeft w:val="0"/>
                  <w:marRight w:val="0"/>
                  <w:marTop w:val="100"/>
                  <w:marBottom w:val="100"/>
                  <w:divBdr>
                    <w:top w:val="none" w:sz="0" w:space="0" w:color="auto"/>
                    <w:left w:val="none" w:sz="0" w:space="0" w:color="auto"/>
                    <w:bottom w:val="none" w:sz="0" w:space="0" w:color="auto"/>
                    <w:right w:val="none" w:sz="0" w:space="0" w:color="auto"/>
                  </w:divBdr>
                  <w:divsChild>
                    <w:div w:id="2129158285">
                      <w:marLeft w:val="0"/>
                      <w:marRight w:val="0"/>
                      <w:marTop w:val="0"/>
                      <w:marBottom w:val="0"/>
                      <w:divBdr>
                        <w:top w:val="none" w:sz="0" w:space="0" w:color="auto"/>
                        <w:left w:val="none" w:sz="0" w:space="0" w:color="auto"/>
                        <w:bottom w:val="none" w:sz="0" w:space="0" w:color="auto"/>
                        <w:right w:val="none" w:sz="0" w:space="0" w:color="auto"/>
                      </w:divBdr>
                      <w:divsChild>
                        <w:div w:id="11592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615917">
      <w:bodyDiv w:val="1"/>
      <w:marLeft w:val="0"/>
      <w:marRight w:val="0"/>
      <w:marTop w:val="0"/>
      <w:marBottom w:val="0"/>
      <w:divBdr>
        <w:top w:val="none" w:sz="0" w:space="0" w:color="auto"/>
        <w:left w:val="none" w:sz="0" w:space="0" w:color="auto"/>
        <w:bottom w:val="none" w:sz="0" w:space="0" w:color="auto"/>
        <w:right w:val="none" w:sz="0" w:space="0" w:color="auto"/>
      </w:divBdr>
    </w:div>
    <w:div w:id="987200517">
      <w:bodyDiv w:val="1"/>
      <w:marLeft w:val="0"/>
      <w:marRight w:val="0"/>
      <w:marTop w:val="0"/>
      <w:marBottom w:val="0"/>
      <w:divBdr>
        <w:top w:val="none" w:sz="0" w:space="0" w:color="auto"/>
        <w:left w:val="none" w:sz="0" w:space="0" w:color="auto"/>
        <w:bottom w:val="none" w:sz="0" w:space="0" w:color="auto"/>
        <w:right w:val="none" w:sz="0" w:space="0" w:color="auto"/>
      </w:divBdr>
    </w:div>
    <w:div w:id="1017194439">
      <w:bodyDiv w:val="1"/>
      <w:marLeft w:val="0"/>
      <w:marRight w:val="0"/>
      <w:marTop w:val="0"/>
      <w:marBottom w:val="0"/>
      <w:divBdr>
        <w:top w:val="none" w:sz="0" w:space="0" w:color="auto"/>
        <w:left w:val="none" w:sz="0" w:space="0" w:color="auto"/>
        <w:bottom w:val="none" w:sz="0" w:space="0" w:color="auto"/>
        <w:right w:val="none" w:sz="0" w:space="0" w:color="auto"/>
      </w:divBdr>
      <w:divsChild>
        <w:div w:id="1949580921">
          <w:marLeft w:val="0"/>
          <w:marRight w:val="0"/>
          <w:marTop w:val="0"/>
          <w:marBottom w:val="0"/>
          <w:divBdr>
            <w:top w:val="none" w:sz="0" w:space="0" w:color="auto"/>
            <w:left w:val="none" w:sz="0" w:space="0" w:color="auto"/>
            <w:bottom w:val="none" w:sz="0" w:space="0" w:color="auto"/>
            <w:right w:val="none" w:sz="0" w:space="0" w:color="auto"/>
          </w:divBdr>
          <w:divsChild>
            <w:div w:id="126244059">
              <w:marLeft w:val="0"/>
              <w:marRight w:val="0"/>
              <w:marTop w:val="0"/>
              <w:marBottom w:val="600"/>
              <w:divBdr>
                <w:top w:val="none" w:sz="0" w:space="0" w:color="auto"/>
                <w:left w:val="none" w:sz="0" w:space="0" w:color="auto"/>
                <w:bottom w:val="none" w:sz="0" w:space="0" w:color="auto"/>
                <w:right w:val="none" w:sz="0" w:space="0" w:color="auto"/>
              </w:divBdr>
              <w:divsChild>
                <w:div w:id="1826168394">
                  <w:marLeft w:val="0"/>
                  <w:marRight w:val="0"/>
                  <w:marTop w:val="100"/>
                  <w:marBottom w:val="100"/>
                  <w:divBdr>
                    <w:top w:val="none" w:sz="0" w:space="0" w:color="auto"/>
                    <w:left w:val="none" w:sz="0" w:space="0" w:color="auto"/>
                    <w:bottom w:val="none" w:sz="0" w:space="0" w:color="auto"/>
                    <w:right w:val="none" w:sz="0" w:space="0" w:color="auto"/>
                  </w:divBdr>
                  <w:divsChild>
                    <w:div w:id="1362630727">
                      <w:marLeft w:val="0"/>
                      <w:marRight w:val="0"/>
                      <w:marTop w:val="0"/>
                      <w:marBottom w:val="0"/>
                      <w:divBdr>
                        <w:top w:val="none" w:sz="0" w:space="0" w:color="auto"/>
                        <w:left w:val="none" w:sz="0" w:space="0" w:color="auto"/>
                        <w:bottom w:val="none" w:sz="0" w:space="0" w:color="auto"/>
                        <w:right w:val="none" w:sz="0" w:space="0" w:color="auto"/>
                      </w:divBdr>
                      <w:divsChild>
                        <w:div w:id="11429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87924">
      <w:bodyDiv w:val="1"/>
      <w:marLeft w:val="0"/>
      <w:marRight w:val="0"/>
      <w:marTop w:val="0"/>
      <w:marBottom w:val="0"/>
      <w:divBdr>
        <w:top w:val="none" w:sz="0" w:space="0" w:color="auto"/>
        <w:left w:val="none" w:sz="0" w:space="0" w:color="auto"/>
        <w:bottom w:val="none" w:sz="0" w:space="0" w:color="auto"/>
        <w:right w:val="none" w:sz="0" w:space="0" w:color="auto"/>
      </w:divBdr>
    </w:div>
    <w:div w:id="1378358202">
      <w:bodyDiv w:val="1"/>
      <w:marLeft w:val="0"/>
      <w:marRight w:val="0"/>
      <w:marTop w:val="0"/>
      <w:marBottom w:val="0"/>
      <w:divBdr>
        <w:top w:val="none" w:sz="0" w:space="0" w:color="auto"/>
        <w:left w:val="none" w:sz="0" w:space="0" w:color="auto"/>
        <w:bottom w:val="none" w:sz="0" w:space="0" w:color="auto"/>
        <w:right w:val="none" w:sz="0" w:space="0" w:color="auto"/>
      </w:divBdr>
      <w:divsChild>
        <w:div w:id="255290191">
          <w:marLeft w:val="0"/>
          <w:marRight w:val="0"/>
          <w:marTop w:val="0"/>
          <w:marBottom w:val="0"/>
          <w:divBdr>
            <w:top w:val="none" w:sz="0" w:space="0" w:color="auto"/>
            <w:left w:val="none" w:sz="0" w:space="0" w:color="auto"/>
            <w:bottom w:val="none" w:sz="0" w:space="0" w:color="auto"/>
            <w:right w:val="none" w:sz="0" w:space="0" w:color="auto"/>
          </w:divBdr>
          <w:divsChild>
            <w:div w:id="1690764726">
              <w:marLeft w:val="0"/>
              <w:marRight w:val="0"/>
              <w:marTop w:val="0"/>
              <w:marBottom w:val="600"/>
              <w:divBdr>
                <w:top w:val="none" w:sz="0" w:space="0" w:color="auto"/>
                <w:left w:val="none" w:sz="0" w:space="0" w:color="auto"/>
                <w:bottom w:val="none" w:sz="0" w:space="0" w:color="auto"/>
                <w:right w:val="none" w:sz="0" w:space="0" w:color="auto"/>
              </w:divBdr>
              <w:divsChild>
                <w:div w:id="921765701">
                  <w:marLeft w:val="0"/>
                  <w:marRight w:val="0"/>
                  <w:marTop w:val="100"/>
                  <w:marBottom w:val="100"/>
                  <w:divBdr>
                    <w:top w:val="none" w:sz="0" w:space="0" w:color="auto"/>
                    <w:left w:val="none" w:sz="0" w:space="0" w:color="auto"/>
                    <w:bottom w:val="none" w:sz="0" w:space="0" w:color="auto"/>
                    <w:right w:val="none" w:sz="0" w:space="0" w:color="auto"/>
                  </w:divBdr>
                  <w:divsChild>
                    <w:div w:id="156073801">
                      <w:marLeft w:val="0"/>
                      <w:marRight w:val="0"/>
                      <w:marTop w:val="0"/>
                      <w:marBottom w:val="0"/>
                      <w:divBdr>
                        <w:top w:val="none" w:sz="0" w:space="0" w:color="auto"/>
                        <w:left w:val="none" w:sz="0" w:space="0" w:color="auto"/>
                        <w:bottom w:val="none" w:sz="0" w:space="0" w:color="auto"/>
                        <w:right w:val="none" w:sz="0" w:space="0" w:color="auto"/>
                      </w:divBdr>
                      <w:divsChild>
                        <w:div w:id="98450183">
                          <w:marLeft w:val="0"/>
                          <w:marRight w:val="0"/>
                          <w:marTop w:val="0"/>
                          <w:marBottom w:val="0"/>
                          <w:divBdr>
                            <w:top w:val="none" w:sz="0" w:space="0" w:color="auto"/>
                            <w:left w:val="none" w:sz="0" w:space="0" w:color="auto"/>
                            <w:bottom w:val="none" w:sz="0" w:space="0" w:color="auto"/>
                            <w:right w:val="none" w:sz="0" w:space="0" w:color="auto"/>
                          </w:divBdr>
                          <w:divsChild>
                            <w:div w:id="696010477">
                              <w:marLeft w:val="0"/>
                              <w:marRight w:val="0"/>
                              <w:marTop w:val="0"/>
                              <w:marBottom w:val="0"/>
                              <w:divBdr>
                                <w:top w:val="none" w:sz="0" w:space="0" w:color="auto"/>
                                <w:left w:val="none" w:sz="0" w:space="0" w:color="auto"/>
                                <w:bottom w:val="none" w:sz="0" w:space="0" w:color="auto"/>
                                <w:right w:val="none" w:sz="0" w:space="0" w:color="auto"/>
                              </w:divBdr>
                              <w:divsChild>
                                <w:div w:id="2106223154">
                                  <w:marLeft w:val="0"/>
                                  <w:marRight w:val="0"/>
                                  <w:marTop w:val="0"/>
                                  <w:marBottom w:val="0"/>
                                  <w:divBdr>
                                    <w:top w:val="none" w:sz="0" w:space="0" w:color="auto"/>
                                    <w:left w:val="none" w:sz="0" w:space="0" w:color="auto"/>
                                    <w:bottom w:val="none" w:sz="0" w:space="0" w:color="auto"/>
                                    <w:right w:val="none" w:sz="0" w:space="0" w:color="auto"/>
                                  </w:divBdr>
                                  <w:divsChild>
                                    <w:div w:id="20449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15122">
      <w:bodyDiv w:val="1"/>
      <w:marLeft w:val="0"/>
      <w:marRight w:val="0"/>
      <w:marTop w:val="0"/>
      <w:marBottom w:val="0"/>
      <w:divBdr>
        <w:top w:val="none" w:sz="0" w:space="0" w:color="auto"/>
        <w:left w:val="none" w:sz="0" w:space="0" w:color="auto"/>
        <w:bottom w:val="none" w:sz="0" w:space="0" w:color="auto"/>
        <w:right w:val="none" w:sz="0" w:space="0" w:color="auto"/>
      </w:divBdr>
    </w:div>
    <w:div w:id="1772702246">
      <w:bodyDiv w:val="1"/>
      <w:marLeft w:val="0"/>
      <w:marRight w:val="0"/>
      <w:marTop w:val="0"/>
      <w:marBottom w:val="0"/>
      <w:divBdr>
        <w:top w:val="none" w:sz="0" w:space="0" w:color="auto"/>
        <w:left w:val="none" w:sz="0" w:space="0" w:color="auto"/>
        <w:bottom w:val="none" w:sz="0" w:space="0" w:color="auto"/>
        <w:right w:val="none" w:sz="0" w:space="0" w:color="auto"/>
      </w:divBdr>
    </w:div>
    <w:div w:id="21177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Arkusz_programu_Microsoft_Office_Excel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Arkusz_programu_Microsoft_Office_Excel1.xlsx"/><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9B288-9139-41EE-8D94-DBCF05FC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4223</Words>
  <Characters>25343</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Siemsia</dc:creator>
  <cp:lastModifiedBy>langhelp</cp:lastModifiedBy>
  <cp:revision>4</cp:revision>
  <cp:lastPrinted>2013-08-27T13:41:00Z</cp:lastPrinted>
  <dcterms:created xsi:type="dcterms:W3CDTF">2014-08-28T19:55:00Z</dcterms:created>
  <dcterms:modified xsi:type="dcterms:W3CDTF">2014-08-30T13:00:00Z</dcterms:modified>
</cp:coreProperties>
</file>